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مأمون، أبو الحسن، النيسابوري.
</w:t>
      </w:r>
    </w:p>
    <w:p>
      <w:pPr>
        <w:jc w:val="start"/>
        <w:bidi/>
      </w:pPr>
      <w:r>
        <w:rPr>
          <w:rFonts w:ascii="arial" w:hAnsi="arial" w:eastAsia="arial" w:cs="arial"/>
          <w:sz w:val="28"/>
          <w:szCs w:val="28"/>
          <w:b w:val="1"/>
          <w:bCs w:val="1"/>
          <w:rtl/>
        </w:rPr>
        <w:t xml:space="preserve">علي بن مأمون، أبو الحسن، النيسابوري.
</w:t>
      </w:r>
    </w:p>
    <w:p>
      <w:pPr/>
      <w:r>
        <w:rPr/>
        <w:t xml:space="preserve">علي بن مأمون، أبو الحسن، النيسابوري. </w:t>
      </w:r>
    </w:p>
    <w:p/>
    <w:p>
      <w:pPr/>
      <w:r>
        <w:rPr/>
        <w:t xml:space="preserve">ذكره الحاكم في شيوخه، ووصفه بالعابد، ولعله المترجم في ’’تاريخ دمشق’’، قال ابن عساكر: علي بن مأمون أبو الحسن المصيصي الشاعر، طرف بالشام، وحكى عن أبي العهد هاشم بن محمد الصوري، وعبيد الله بن أحمد البلدي النحوي، روى عنه أبو منصور عبد الملك الثعالبي النيسابوري.</w:t>
      </w:r>
    </w:p>
    <w:p/>
    <w:p>
      <w:pPr/>
      <w:r>
        <w:rPr/>
        <w:t xml:space="preserve">قلت: [صدوق عابد].</w:t>
      </w:r>
    </w:p>
    <w:p/>
    <w:p>
      <w:pPr/>
      <w:r>
        <w:rPr/>
        <w:t xml:space="preserve">’’مختصر تاريخ نيسابور’’ (17/ أ)، ’’تاريخ دمشق’’ (43/ 228).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2026-10-13T21:13:53+03:00</dcterms:created>
  <dcterms:modified xsi:type="dcterms:W3CDTF">2026-10-13T21:13:53+03:00</dcterms:modified>
</cp:coreProperties>
</file>

<file path=docProps/custom.xml><?xml version="1.0" encoding="utf-8"?>
<Properties xmlns="http://schemas.openxmlformats.org/officeDocument/2006/custom-properties" xmlns:vt="http://schemas.openxmlformats.org/officeDocument/2006/docPropsVTypes"/>
</file>