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علي بن أحمد بن بختيار، أبو الحسن، المقرئ، الضرير، النيسابوري، ثم البغدادي.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علي بن أحمد بن بختيار، أبو الحسن، المقرئ، الضرير، النيسابوري، ثم البغدادي.
</w:t>
      </w:r>
    </w:p>
    <w:p>
      <w:pPr/>
      <w:r>
        <w:rPr/>
        <w:t xml:space="preserve">علي بن أحمد بن بختيار، أبو الحسن، المقرئ، الضرير، النيسابوري، ثم البغدادي. </w:t>
      </w:r>
    </w:p>
    <w:p/>
    <w:p>
      <w:pPr/>
      <w:r>
        <w:rPr/>
        <w:t xml:space="preserve">حدث عن: إسماعيل بن محمد الصفار، ومحمد بن عمرو الرزاز، وأبي عمرو بن السماك، وأحمد بن كامل القاضي.</w:t>
      </w:r>
    </w:p>
    <w:p/>
    <w:p>
      <w:pPr/>
      <w:r>
        <w:rPr/>
        <w:t xml:space="preserve">وعنه: أبو عبد الله الحاكم، وعلي بن طلحة بن البصري، وأحمد بن محمد العتيقي.</w:t>
      </w:r>
    </w:p>
    <w:p/>
    <w:p>
      <w:pPr/>
      <w:r>
        <w:rPr/>
        <w:t xml:space="preserve">قال الخطيب: قال لي العتيقي: كان ينزل بقطيعة الربيع في درب المروزي، وكان يقرأ القرآن، فسألته عنه، فقال: كان شيخاً صالحاً ثقة.</w:t>
      </w:r>
    </w:p>
    <w:p/>
    <w:p>
      <w:pPr/>
      <w:r>
        <w:rPr/>
        <w:t xml:space="preserve">قلت: [وثقه العتيقي ويخشى أن يكون توثيق العتيقي له من جهة الصلاة وقراءة القرآن].</w:t>
      </w:r>
    </w:p>
    <w:p/>
    <w:p>
      <w:pPr/>
      <w:r>
        <w:rPr/>
        <w:t xml:space="preserve">’’مختصر تاريخ نيسابور’’ (46/ ب)، ’’تاريخ بغداد’’ (11/ 328).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الروض الباسم في تراجم شيوخ الحاكم،(دار العاصمة للنشر والتوزيع، الرياض - المملكة العربية السعودية،2011،ط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2026-10-13T22:24:43+03:00</dcterms:created>
  <dcterms:modified xsi:type="dcterms:W3CDTF">2026-10-13T22:24:43+03:00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