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عبيد الله بن محمد بن أحمد بن سعيد بن يعقوب، أبو القاسم، البخاري الكلاباذي، الفقيه الحنفي.
</w:t>
      </w:r>
    </w:p>
    <w:p>
      <w:pPr>
        <w:jc w:val="start"/>
        <w:bidi/>
      </w:pPr>
      <w:r>
        <w:rPr>
          <w:rFonts w:ascii="arial" w:hAnsi="arial" w:eastAsia="arial" w:cs="arial"/>
          <w:sz w:val="28"/>
          <w:szCs w:val="28"/>
          <w:b w:val="1"/>
          <w:bCs w:val="1"/>
          <w:rtl/>
        </w:rPr>
        <w:t xml:space="preserve">عبيد الله بن محمد بن أحمد بن سعيد بن يعقوب، أبو القاسم، البخاري الكلاباذي، الفقيه الحنفي.
</w:t>
      </w:r>
    </w:p>
    <w:p>
      <w:pPr/>
      <w:r>
        <w:rPr/>
        <w:t xml:space="preserve">عبيد الله بن محمد بن أحمد بن سعيد بن يعقوب، أبو القاسم، البخاري الكلاباذي، الفقيه الحنفي. </w:t>
      </w:r>
    </w:p>
    <w:p/>
    <w:p>
      <w:pPr/>
      <w:r>
        <w:rPr/>
        <w:t xml:space="preserve">سمع: أباه، وأبا العباس أحمد بن محمد بن سعيد بن عقدة الحافظ.</w:t>
      </w:r>
    </w:p>
    <w:p/>
    <w:p>
      <w:pPr/>
      <w:r>
        <w:rPr/>
        <w:t xml:space="preserve">وعنه: أبو عبد الله الحاكم.</w:t>
      </w:r>
    </w:p>
    <w:p/>
    <w:p>
      <w:pPr/>
      <w:r>
        <w:rPr/>
        <w:t xml:space="preserve">وقال في ’’تاريخه’’: كان من أعيان القضاة بخراسان، ولي قضاء مرو، وهراة، وسمرقند، والشاش، وفرغانة، وبلخ، ثم قلد بعد ذلك قضاء بخارى، فصار قاضي القضاة، ودخلت بخارى سنة خمس وخمسين، وهو على القضاء بها، وكان أبوه ولي قضاء بخارى سبع سنين، وكنت أسمعهم يقولون في مساجدهم ومجالسم: اللهم اغفر للقاضي الكلاباذي محمد بن أحمد، فحسد على ذلك، فقال بعضهم لأهل بخارى: أبو القاسم عبيد الله رجل معتزلي، فالتمسوا عزله عن بخارى، فقلد نيسابور إجلالاً لمحله، ولم يعزلوه إلا بولايةٍ، فوردها قاضياً في ذي القعدة، سنة سبع وخمسين وأنا ببخارى، فالتمس مني الخروج في صحبته، فامتنعت، فخرج، ثم قضي أني وردت نيسابور، وهو بها على القضاء فسألته فحدث، وانتخبت عليه، وذلك في سنة تسع وخمسين وثلاثمائة، ثم لحقه موجدة، فاستخلف بنيسابور، في سنة سنين وثلاثمائة، وترك العمل على خليفته، وخرج إلى بخارى، واستعفى عن قضاء نيسابور، ولو فعل هذا غيره لعمل في دمه، لكنهم احتملوه إجلالاً لمحله، فلزم منزله، ولم يتقلد بعد ذلك لهم عملاً، وتوفي ببخارى، سنة تسع وستين وثلاثمائة.</w:t>
      </w:r>
    </w:p>
    <w:p/>
    <w:p>
      <w:pPr/>
      <w:r>
        <w:rPr/>
        <w:t xml:space="preserve">قلت: [ثقة تقلد القضاء، كبير المحل].</w:t>
      </w:r>
    </w:p>
    <w:p/>
    <w:p>
      <w:pPr/>
      <w:r>
        <w:rPr/>
        <w:t xml:space="preserve">’’مختصر تاريخ نيسابور’’ (45/ أ)، ’’الأنساب’’ (4/ 668)، ’’التمييز والفصل’’ (2/ 494)، ’’الجواهر المضية’’ (2/ 501)، ’’الطبقات السنية’’ (4/ 425).</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2026-10-13T23:35:45+03:00</dcterms:created>
  <dcterms:modified xsi:type="dcterms:W3CDTF">2026-10-13T23:35:45+03:00</dcterms:modified>
</cp:coreProperties>
</file>

<file path=docProps/custom.xml><?xml version="1.0" encoding="utf-8"?>
<Properties xmlns="http://schemas.openxmlformats.org/officeDocument/2006/custom-properties" xmlns:vt="http://schemas.openxmlformats.org/officeDocument/2006/docPropsVTypes"/>
</file>