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بن أحمد بن محمد بن عمر بن عبد الرحمن بن عمر بن محمد بن المنكدر
</w:t>
      </w:r>
    </w:p>
    <w:p>
      <w:pPr>
        <w:jc w:val="start"/>
        <w:bidi/>
      </w:pPr>
      <w:r>
        <w:rPr>
          <w:rFonts w:ascii="arial" w:hAnsi="arial" w:eastAsia="arial" w:cs="arial"/>
          <w:sz w:val="28"/>
          <w:szCs w:val="28"/>
          <w:b w:val="1"/>
          <w:bCs w:val="1"/>
          <w:rtl/>
        </w:rPr>
        <w:t xml:space="preserve">عبد الواحد بن أحمد بن محمد بن عمر بن عبد الرحمن بن عمر بن محمد بن المنكدر
</w:t>
      </w:r>
    </w:p>
    <w:p>
      <w:pPr/>
      <w:r>
        <w:rPr/>
        <w:t xml:space="preserve">عبد الواحد بن أحمد بن محمد بن عمر بن عبد الرحمن بن عمر بن محمد بن المنكدر، من أولاد محمد بن المنكدر بن عبد الله بن الهدير بن محرز بن عبد العزيز بن عامر بن الحارث بن حارثة بن سعد بن تيم بن مرة، أبو عمر بن أبي بكر، القرشي، التيمي، المنكدري، المرورذي ثم النيسابوري. </w:t>
      </w:r>
    </w:p>
    <w:p/>
    <w:p>
      <w:pPr/>
      <w:r>
        <w:rPr/>
        <w:t xml:space="preserve">سمع: أباه أحمد بن محمد القرشي، وجعفر بن أحمد الحافظ، وعبد الله بن محمد بن شيرويه، وأقرانهما.</w:t>
      </w:r>
    </w:p>
    <w:p/>
    <w:p>
      <w:pPr/>
      <w:r>
        <w:rPr/>
        <w:t xml:space="preserve">وعنه: أبو عبد الله الحاكم في ’’المعرفة’’.</w:t>
      </w:r>
    </w:p>
    <w:p/>
    <w:p>
      <w:pPr/>
      <w:r>
        <w:rPr/>
        <w:t xml:space="preserve">وقال في ’’تاريخه’’: أقام بنيسابور مدة، ثم خرج مع أبيه إلى ما وراء النهر، وانصرف إلى نيسابور بعد وفاة أبيه، وذلك في أيام صاحب الجيش أبي نصر منصور بن قرانكين، ثم خرج إلى الجوزجانان، فاستوزر بها، فبقي عند أولائك الملوك لوزارة الأب، الابن، وآخر ما رأيته ببخارى سنة خمس وخمسين وثلاثمائة، وكتبنا عنه، وانتخبت عليه، ثم جاءنا نعيه من جوزجان سنة تسع وخمسين وثلاثمائة، وكان من عقلاء الرجال، وكنا معه ببخارى، فبلغني أن علي بن موسى الزراد قال له يوماً: يا أبا عمر بلغني أنك قرمطي، فقال أبو عمر: أنا رجل من تميم قريش، وكان والدي من مدينة رسول الله - صلى الله عليه وسلم -، لا يتعلق بنا هذا القول، وكل ذي نعمة محسود، فسكت علي بن موسى. وقال ابن الصلاح في ’’طبقاته’’: كتب عنه الحاكم، وانتخب عليه، وكان يكتب بمدة واحدة مالاً يكتب غيره بثلاثين مدة.</w:t>
      </w:r>
    </w:p>
    <w:p/>
    <w:p>
      <w:pPr/>
      <w:r>
        <w:rPr/>
        <w:t xml:space="preserve">قلت: [ثقة نبيل].</w:t>
      </w:r>
    </w:p>
    <w:p/>
    <w:p>
      <w:pPr/>
      <w:r>
        <w:rPr/>
        <w:t xml:space="preserve">’’المعرفة’’ (16)، ’’مختصر تاريخ نيسابور’’ (45/ ب)، ’’الأنساب’’ (5/ 292)، ’’طبقات ابن الصلاح’’ (1/ 390).</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2026-10-13T23:33:27+03:00</dcterms:created>
  <dcterms:modified xsi:type="dcterms:W3CDTF">2026-10-13T23:33:27+03:00</dcterms:modified>
</cp:coreProperties>
</file>

<file path=docProps/custom.xml><?xml version="1.0" encoding="utf-8"?>
<Properties xmlns="http://schemas.openxmlformats.org/officeDocument/2006/custom-properties" xmlns:vt="http://schemas.openxmlformats.org/officeDocument/2006/docPropsVTypes"/>
</file>