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فضلويه، أبو محمد، الزاهد، الصوفي، النيسابوري، المعلم.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فضلويه، أبو محمد، الزاهد، الصوفي، النيسابوري، المعلم.
</w:t>
      </w:r>
    </w:p>
    <w:p>
      <w:pPr/>
      <w:r>
        <w:rPr/>
        <w:t xml:space="preserve">عبد الله بن محمد بن فضلويه، أبو محمد، الزاهد، الصوفي، النيسابوري، المعلم. </w:t>
      </w:r>
    </w:p>
    <w:p/>
    <w:p>
      <w:pPr/>
      <w:r>
        <w:rPr/>
        <w:t xml:space="preserve">سمع: أبا علي محمد بن عبد الوهاب الثقفي، وعبد الله بن محمد بن منازل، وعبد الله بن محمد الشعراني الرازي، وأبا عثمان سعيد بن سلام المغربي.</w:t>
      </w:r>
    </w:p>
    <w:p/>
    <w:p>
      <w:pPr/>
      <w:r>
        <w:rPr/>
        <w:t xml:space="preserve">وعنه: أبو عبد الله الحاكم، وأبو عبد الرحمن السلمي.</w:t>
      </w:r>
    </w:p>
    <w:p/>
    <w:p>
      <w:pPr/>
      <w:r>
        <w:rPr/>
        <w:t xml:space="preserve">قال الذهبي: من بقايا شيوخ نيسابور، توفي في سنة أربع وسبعين وثلاثمائة.</w:t>
      </w:r>
    </w:p>
    <w:p/>
    <w:p>
      <w:pPr/>
      <w:r>
        <w:rPr/>
        <w:t xml:space="preserve">قلت: [صدوق - ولولا توسع الذهبي في العبارة لكان أرفع من ذلك، وقد يدل كلامه على كونه معمراً، ولا يلزم من ذلك توثيقه، لكن الأول أولى.</w:t>
      </w:r>
    </w:p>
    <w:p/>
    <w:p>
      <w:pPr/>
      <w:r>
        <w:rPr/>
        <w:t xml:space="preserve">’’مختصر تاريخ نيسابور’’ (44/ ب)، ’’طبقات الصوفية’’ (127، 452، 482)، ’’الشعب’’ (13/ 504)، ’’تاريخ الإسلام’’ (26/ 557).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2026-10-14T00:29:31+03:00</dcterms:created>
  <dcterms:modified xsi:type="dcterms:W3CDTF">2026-10-14T00:29:31+03:00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