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عبد الله بن محمد بن عبد الله بن زرع بن كرمان، أبو محمد، الزري، الرازي الخواري.
</w:t>
      </w:r>
    </w:p>
    <w:p>
      <w:pPr>
        <w:jc w:val="start"/>
        <w:bidi/>
      </w:pPr>
      <w:r>
        <w:rPr>
          <w:rFonts w:ascii="arial" w:hAnsi="arial" w:eastAsia="arial" w:cs="arial"/>
          <w:sz w:val="28"/>
          <w:szCs w:val="28"/>
          <w:b w:val="1"/>
          <w:bCs w:val="1"/>
          <w:rtl/>
        </w:rPr>
        <w:t xml:space="preserve">عبد الله بن محمد بن عبد الله بن محمد بن عبد الله بن زرع بن كرمان، أبو محمد، الزري، الرازي الخواري.
</w:t>
      </w:r>
    </w:p>
    <w:p>
      <w:pPr/>
      <w:r>
        <w:rPr/>
        <w:t xml:space="preserve">عبد الله بن محمد بن عبد الله بن محمد بن عبد الله بن زرع بن كرمان، أبو محمد، الزري، الرازي الخواري. </w:t>
      </w:r>
    </w:p>
    <w:p/>
    <w:p>
      <w:pPr/>
      <w:r>
        <w:rPr/>
        <w:t xml:space="preserve">حدث عن: أحمد بن جعفر بن نصر الجمال، ومحمد بن صالح الصيمري، وإبراهيم بن محمد بن عبد الله السناني، صاحب عيسى بن حماد زغبة، وعبد الرحمن بن أبي حاتم، وأكثر عنه، وغيرهم.</w:t>
      </w:r>
    </w:p>
    <w:p/>
    <w:p>
      <w:pPr/>
      <w:r>
        <w:rPr/>
        <w:t xml:space="preserve">وعنه: أبو عبد الله الحاكم، وأبو بكر أحمد بن علي بن يزاداذ القارئ، وأحمد بن علي بن منجويه اليزدي، وأبو العباس جعفر بن محمد المستغفري، وغنجار، وغيرهم.</w:t>
      </w:r>
    </w:p>
    <w:p/>
    <w:p>
      <w:pPr/>
      <w:r>
        <w:rPr/>
        <w:t xml:space="preserve">قال الحاكم في ’’تاريخه’’: من أهل خوار الري، شيخ أديب، وكان متمكناً من عقله، قد كان انتقل إلى نيسابور في صحبة آل أبي بكر بن منصور، ثم انتقل إلى بخارى مع أبي أحمد بن بكر بن منصور، ولم يتلبس لهم بعمل قط، ثم انصرف إلى نيسابور، فبقي عندنا مدة، وخرج إلى الري، وانصرف إلينا، ودخل بخارى فمات بها؛ كتب بجرجان، وطبرستان، وتلك الديار، وأكثر عن عبد الرحمن بن أبي حاتم، وقال: كتبت عنه بالري، وبخوار الري، وبنيسابور، وببخارى. وقال السمعاني: كان مكثراً.</w:t>
      </w:r>
    </w:p>
    <w:p/>
    <w:p>
      <w:pPr/>
      <w:r>
        <w:rPr/>
        <w:t xml:space="preserve">مات ببخارى، يوم الخميس مستهل صفر سنة أربع وتسعين وثلاثمائة.</w:t>
      </w:r>
    </w:p>
    <w:p/>
    <w:p>
      <w:pPr/>
      <w:r>
        <w:rPr/>
        <w:t xml:space="preserve">قلت: [ثقة أديب].</w:t>
      </w:r>
    </w:p>
    <w:p/>
    <w:p>
      <w:pPr/>
      <w:r>
        <w:rPr/>
        <w:t xml:space="preserve">’’مختصر تاريخ نيسابور’’ (44/ ب)، ’’الإكمال’’ (3/ 214)، (4/ 183)، ’’الأنساب’’ (2/ 468)، (3/ 167)، ’’مختصره’’ (2/ 67)، تاريخ (26/ 557)، (27/ 302)، ’’توضيح المشتبه’’ (3/ 379)، (4/ 298)، ’’تبصير المنتبه’’ (2/ 553).</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الخواري.
</w:t>
      </w:r>
    </w:p>
    <w:p>
      <w:pPr/>
      <w:r>
        <w:rPr/>
        <w:t xml:space="preserve">عبد الله بن محمد الخواري. </w:t>
      </w:r>
    </w:p>
    <w:p/>
    <w:p>
      <w:pPr/>
      <w:r>
        <w:rPr/>
        <w:t xml:space="preserve">تقدم في: عبد الله بن محمد بن عبد الله بن محمد بن عبد الله.</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2026-10-14T00:30:39+03:00</dcterms:created>
  <dcterms:modified xsi:type="dcterms:W3CDTF">2026-10-14T00:30:39+03:00</dcterms:modified>
</cp:coreProperties>
</file>

<file path=docProps/custom.xml><?xml version="1.0" encoding="utf-8"?>
<Properties xmlns="http://schemas.openxmlformats.org/officeDocument/2006/custom-properties" xmlns:vt="http://schemas.openxmlformats.org/officeDocument/2006/docPropsVTypes"/>
</file>