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عمرو بن محمد، أبو محمد،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عمرو بن محمد، أبو محمد، النيسابوري.
</w:t>
      </w:r>
    </w:p>
    <w:p>
      <w:pPr/>
      <w:r>
        <w:rPr/>
        <w:t xml:space="preserve">عبد الله بن عمرو بن محمد، أبو محمد، النيسابوري. </w:t>
      </w:r>
    </w:p>
    <w:p/>
    <w:p>
      <w:pPr/>
      <w:r>
        <w:rPr/>
        <w:t xml:space="preserve">ذكره الحاكم في شيوخه الذي رزق السماع منهم بنيسابور، ووصفه بالتاجر.</w:t>
      </w:r>
    </w:p>
    <w:p/>
    <w:p>
      <w:pPr/>
      <w:r>
        <w:rPr/>
        <w:t xml:space="preserve">قلت: [مستور].</w:t>
      </w:r>
    </w:p>
    <w:p/>
    <w:p>
      <w:pPr/>
      <w:r>
        <w:rPr/>
        <w:t xml:space="preserve">’’مختصر تاريخ نيسابور’’ (44/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2026-10-14T01:21:48+03:00</dcterms:created>
  <dcterms:modified xsi:type="dcterms:W3CDTF">2026-10-14T01:21:48+03:00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