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عمرو بن محمد بن الحسين بن يزيد بن غزوان، أبو القاسم، الكرابيسي البخاري، ثم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بن محمد بن الحسين بن يزيد بن غزوان، أبو القاسم، الكرابيسي البخاري، ثم النيسابوري.
</w:t>
      </w:r>
    </w:p>
    <w:p>
      <w:pPr/>
      <w:r>
        <w:rPr/>
        <w:t xml:space="preserve">عبد الله بن عمرو بن محمد بن الحسين بن يزيد بن غزوان، أبو القاسم، الكرابيسي البخاري، ثم النيسابوري. </w:t>
      </w:r>
    </w:p>
    <w:p/>
    <w:p>
      <w:pPr/>
      <w:r>
        <w:rPr/>
        <w:t xml:space="preserve">حدث عن: أبي عبد الرحمن بن أبي الليث، وعمر بن محمد بن بجير، وأحمد بن عبد الواحد بن رفيد.</w:t>
      </w:r>
    </w:p>
    <w:p/>
    <w:p>
      <w:pPr/>
      <w:r>
        <w:rPr/>
        <w:t xml:space="preserve">ذكره الحاكم في شيوخه الذي رزق السماع منهم بنيسابور، ووصفه: بالفقيه. وذكره محمد بن أحمد بن محمد بن سليمان الغنجار في كتاب ’’تاريخ بخارى’’، وقال: توفي أبو القاسم ببغداد بعد ما انصرف من الحج، في صفر سنة تسع وأربعين وثلاثمائة.</w:t>
      </w:r>
    </w:p>
    <w:p/>
    <w:p>
      <w:pPr/>
      <w:r>
        <w:rPr/>
        <w:t xml:space="preserve">قلت: [صدوق فقيه].</w:t>
      </w:r>
    </w:p>
    <w:p/>
    <w:p>
      <w:pPr/>
      <w:r>
        <w:rPr/>
        <w:t xml:space="preserve">’’مختصر تاريخ نيسابور’’ (44/ أ)، ’’تاريخ بغداد’’ (10/ 27).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2026-10-14T01:40:06+03:00</dcterms:created>
  <dcterms:modified xsi:type="dcterms:W3CDTF">2026-10-14T01:40:06+03:00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