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حمدون، أبو حاتم، النيسابوري.
</w:t>
      </w:r>
    </w:p>
    <w:p>
      <w:pPr>
        <w:jc w:val="start"/>
        <w:bidi/>
      </w:pPr>
      <w:r>
        <w:rPr>
          <w:rFonts w:ascii="arial" w:hAnsi="arial" w:eastAsia="arial" w:cs="arial"/>
          <w:sz w:val="28"/>
          <w:szCs w:val="28"/>
          <w:b w:val="1"/>
          <w:bCs w:val="1"/>
          <w:rtl/>
        </w:rPr>
        <w:t xml:space="preserve">عبد الله بن حمدون، أبو حاتم، النيسابوري.
</w:t>
      </w:r>
    </w:p>
    <w:p>
      <w:pPr/>
      <w:r>
        <w:rPr/>
        <w:t xml:space="preserve">عبد الله بن حمدون، أبو حاتم، النيسابوري. </w:t>
      </w:r>
    </w:p>
    <w:p/>
    <w:p>
      <w:pPr/>
      <w:r>
        <w:rPr/>
        <w:t xml:space="preserve">ذكره الحاكم في شيوخه الذي رزق السماع منهم بنيسابور، وقال: الأديب الشاعر.</w:t>
      </w:r>
    </w:p>
    <w:p/>
    <w:p>
      <w:pPr/>
      <w:r>
        <w:rPr/>
        <w:t xml:space="preserve">قلت: [مستور - ولم يمدح في الحديث، وكثير من الأدباء والشعراء فيهم كلام، فلما لم يتكلم فيه بشيء اقتصرت على ما سبق. وهذا بخلاف من اشتهر بالقضاء إلى الوعظ أو العبادة أو نحو ذلك.</w:t>
      </w:r>
    </w:p>
    <w:p/>
    <w:p>
      <w:pPr/>
      <w:r>
        <w:rPr/>
        <w:t xml:space="preserve">’’مختصر تاريخ نيسابور’’ (44/ أ).</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2026-10-14T02:10:47+03:00</dcterms:created>
  <dcterms:modified xsi:type="dcterms:W3CDTF">2026-10-14T02:10:47+03:00</dcterms:modified>
</cp:coreProperties>
</file>

<file path=docProps/custom.xml><?xml version="1.0" encoding="utf-8"?>
<Properties xmlns="http://schemas.openxmlformats.org/officeDocument/2006/custom-properties" xmlns:vt="http://schemas.openxmlformats.org/officeDocument/2006/docPropsVTypes"/>
</file>