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علي بن محمد، أبو القاسم، الترمذي صاحب ترمذ.
</w:t>
      </w:r>
    </w:p>
    <w:p>
      <w:pPr>
        <w:jc w:val="start"/>
        <w:bidi/>
      </w:pPr>
      <w:r>
        <w:rPr>
          <w:rFonts w:ascii="arial" w:hAnsi="arial" w:eastAsia="arial" w:cs="arial"/>
          <w:sz w:val="28"/>
          <w:szCs w:val="28"/>
          <w:b w:val="1"/>
          <w:bCs w:val="1"/>
          <w:rtl/>
        </w:rPr>
        <w:t xml:space="preserve">عبد الرحمن بن علي بن محمد، أبو القاسم، الترمذي صاحب ترمذ.
</w:t>
      </w:r>
    </w:p>
    <w:p>
      <w:pPr/>
      <w:r>
        <w:rPr/>
        <w:t xml:space="preserve">عبد الرحمن بن علي بن محمد، أبو القاسم، الترمذي صاحب ترمذ. </w:t>
      </w:r>
    </w:p>
    <w:p/>
    <w:p>
      <w:pPr/>
      <w:r>
        <w:rPr/>
        <w:t xml:space="preserve">قال مقيده - عفا الله عنه -: كذا في ’’مختصر تاريخ نيسابور’’، ولعله ’’عبد الرحمن بن علي بن محمد بن إبراهيم بن حمدان بن مهران، أبو القاسم الفارسي، النيسابوري، الفقيه الشافعي.</w:t>
      </w:r>
    </w:p>
    <w:p/>
    <w:p>
      <w:pPr/>
      <w:r>
        <w:rPr/>
        <w:t xml:space="preserve">سمع: أباه، وأبا الوليد الفقيه، وعبد الله بن سعد البزاز، وأبا عمرو بن نجيد، وأبا الحسن السراج، وأبا إسحاق البراري، وأبا بكر هبة الله بن الحسن النحوي، وأبا الحسن بن عبدة السليطي، وطبقتهم.</w:t>
      </w:r>
    </w:p>
    <w:p/>
    <w:p>
      <w:pPr/>
      <w:r>
        <w:rPr/>
        <w:t xml:space="preserve">وعنه: محمد بن يحيى بن إبراهيم أبو بكر المزكي السختوي، وأبو بكر البيهقي.</w:t>
      </w:r>
    </w:p>
    <w:p/>
    <w:p>
      <w:pPr/>
      <w:r>
        <w:rPr/>
        <w:t xml:space="preserve">قال أبو الحسن عبد الغافر الفارسي في ’’السياق’’: ثقة صائن عفيف.</w:t>
      </w:r>
    </w:p>
    <w:p/>
    <w:p>
      <w:pPr/>
      <w:r>
        <w:rPr/>
        <w:t xml:space="preserve">وقال الذهبي: ثقة صائن. وأشار محقق كتاب ’’الاعتقاد’’ للبيهقي أنه لم يعرفه.</w:t>
      </w:r>
    </w:p>
    <w:p/>
    <w:p>
      <w:pPr/>
      <w:r>
        <w:rPr/>
        <w:t xml:space="preserve">مات في حدود العشرين وأربعمائة.</w:t>
      </w:r>
    </w:p>
    <w:p/>
    <w:p>
      <w:pPr/>
      <w:r>
        <w:rPr/>
        <w:t xml:space="preserve">قلت: [صدوق صوان لنفسه - وهذا أحوط من إطلاق الثقة فيه؛ لأن الذهبي متابع لعبد الغافر وكلاهما قد يتوسع في إطلاق الثقة لما اشتهر به المتأخرون في ذلك.</w:t>
      </w:r>
    </w:p>
    <w:p/>
    <w:p>
      <w:pPr/>
      <w:r>
        <w:rPr/>
        <w:t xml:space="preserve">’’مختصر تاريخ نيسابور’’ (45/ ب)، ’’الاعتقاد’’ ص (245)، ’’المنتخب من السياق’’ (1011)، ’’تاريخ الإسلام’’ (28/ 500)، ’’طبقات ابن كثير’’ (1/ 374)، ’’العقد المذهب’’ (179)، ’’ذيل طبقات ابن الصلاح’’ (2/ 771).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2026-10-14T03:18:46+03:00</dcterms:created>
  <dcterms:modified xsi:type="dcterms:W3CDTF">2026-10-14T03:18:46+03:00</dcterms:modified>
</cp:coreProperties>
</file>

<file path=docProps/custom.xml><?xml version="1.0" encoding="utf-8"?>
<Properties xmlns="http://schemas.openxmlformats.org/officeDocument/2006/custom-properties" xmlns:vt="http://schemas.openxmlformats.org/officeDocument/2006/docPropsVTypes"/>
</file>