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الأعلي بن عبد الله بن سليمان بن الأشعث بن إسحاق بن بشير بن عمرو بن عمران، أبو أحمد بن أبي بكر بن أبي داود، الأزدي السجستاني،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الأعلي بن عبد الله بن سليمان بن الأشعث بن إسحاق بن بشير بن عمرو بن عمران، أبو أحمد بن أبي بكر بن أبي داود، الأزدي السجستاني، البغدادي.
</w:t>
      </w:r>
    </w:p>
    <w:p>
      <w:pPr/>
      <w:r>
        <w:rPr/>
        <w:t xml:space="preserve">عبد الأعلي بن عبد الله بن سليمان بن الأشعث بن إسحاق بن بشير بن عمرو بن عمران، أبو أحمد بن أبي بكر بن أبي داود، الأزدي السجستاني، البغدادي. </w:t>
      </w:r>
    </w:p>
    <w:p/>
    <w:p>
      <w:pPr/>
      <w:r>
        <w:rPr/>
        <w:t xml:space="preserve">حدث عن: أبيه.</w:t>
      </w:r>
    </w:p>
    <w:p/>
    <w:p>
      <w:pPr/>
      <w:r>
        <w:rPr/>
        <w:t xml:space="preserve">وعنه: أبو عبد الله الحاكم - في ’’مستدركه’’ وذكر أنه حدثه ببغداد - وأحمد بن عثمان بن برصالا البلدي، وغيرهما.</w:t>
      </w:r>
    </w:p>
    <w:p/>
    <w:p>
      <w:pPr/>
      <w:r>
        <w:rPr/>
        <w:t xml:space="preserve">قال الخطيب: ذكر لي محمد بن علي الصوري أن عبد الأعلى عاش إلى سنة سبعين وثلاثمائة. وقال الذهبي: توفي سنة إحدى وسبعين وثلاثمائة تقريباً.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’’المستدرك’’ (3/ 196/ 4839)، ’’تاريخ بغداد’’ (11/ 77)، ’’تاريخ الإسلام’’ (26/ 501).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2026-10-14T04:35:12+03:00</dcterms:created>
  <dcterms:modified xsi:type="dcterms:W3CDTF">2026-10-14T04:35:12+03:00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