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محمد بن عبدان، أبو الطيب بن عبدان،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محمد بن عبدان، أبو الطيب بن عبدان، النيسابوري.
</w:t>
      </w:r>
    </w:p>
    <w:p>
      <w:pPr/>
      <w:r>
        <w:rPr/>
        <w:t xml:space="preserve">طاهر بن محمد بن عبدان، أبو الطيب بن عبدان، النيسابوري. </w:t>
      </w:r>
    </w:p>
    <w:p/>
    <w:p>
      <w:pPr/>
      <w:r>
        <w:rPr/>
        <w:t xml:space="preserve">قال الحاكم في ’’تاريخه’’: كان تاجراً، وكان من الأبناء الصالحين، وكنت أتبرك بدعائه.</w:t>
      </w:r>
    </w:p>
    <w:p/>
    <w:p>
      <w:pPr/>
      <w:r>
        <w:rPr/>
        <w:t xml:space="preserve">قلت: [صدوق صالح].</w:t>
      </w:r>
    </w:p>
    <w:p/>
    <w:p>
      <w:pPr/>
      <w:r>
        <w:rPr/>
        <w:t xml:space="preserve">’’مختصر تاريخ نيسابور’’ (43/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2026-10-14T05:52:40+03:00</dcterms:created>
  <dcterms:modified xsi:type="dcterms:W3CDTF">2026-10-14T05:52:40+03:00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