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محمد بن ناجية، أبو القاسم، النيسابوري، المديني.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محمد بن ناجية، أبو القاسم، النيسابوري، المديني.
</w:t>
      </w:r>
    </w:p>
    <w:p>
      <w:pPr/>
      <w:r>
        <w:rPr/>
        <w:t xml:space="preserve">سليمان بن محمد بن ناجية، أبو القاسم، النيسابوري، المديني. </w:t>
      </w:r>
    </w:p>
    <w:p/>
    <w:p>
      <w:pPr/>
      <w:r>
        <w:rPr/>
        <w:t xml:space="preserve">سمع: أحمد بن المبارك المستملي، وأحمد بن سلمة، وبشر بن موسى الأسدي، وأبا المثنى العنبري، وطبقتهم.</w:t>
      </w:r>
    </w:p>
    <w:p/>
    <w:p>
      <w:pPr/>
      <w:r>
        <w:rPr/>
        <w:t xml:space="preserve">وعنه: أبو عبد الله الحاكم، وغيره.</w:t>
      </w:r>
    </w:p>
    <w:p/>
    <w:p>
      <w:pPr/>
      <w:r>
        <w:rPr/>
        <w:t xml:space="preserve">قال الذهبي: كانت له أصول بخط أبيه صحيحة.</w:t>
      </w:r>
    </w:p>
    <w:p/>
    <w:p>
      <w:pPr/>
      <w:r>
        <w:rPr/>
        <w:t xml:space="preserve">مات سنة خمسين وثلاثمائة.</w:t>
      </w:r>
    </w:p>
    <w:p/>
    <w:p>
      <w:pPr/>
      <w:r>
        <w:rPr/>
        <w:t xml:space="preserve">قلت: [صدوق إن حدث من أصوله وإلا فلا يحتج به].</w:t>
      </w:r>
    </w:p>
    <w:p/>
    <w:p>
      <w:pPr/>
      <w:r>
        <w:rPr/>
        <w:t xml:space="preserve">’’مختصر تاريخ نيسابور’’ (43/ ب)، ’’الأنساب المتفقة’’ (137)، ’’التمييز والفصل’’ (2/ 575)، ’’تاريخ الإسلام’’ (25/ 441).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2026-10-14T05:52:22+03:00</dcterms:created>
  <dcterms:modified xsi:type="dcterms:W3CDTF">2026-10-14T05:52:22+03:00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