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عطاء بن أبي مروان.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عطاء بن أبي مروان.
</w:t>
      </w:r>
    </w:p>
    <w:p>
      <w:pPr/>
      <w:r>
        <w:rPr/>
        <w:t xml:space="preserve">سعيد بن عطاء بن أبي مروان. </w:t>
      </w:r>
    </w:p>
    <w:p/>
    <w:p>
      <w:pPr/>
      <w:r>
        <w:rPr/>
        <w:t xml:space="preserve">قال مقيده - عفا الله عنه -: وقع في إسناد حديثه الذي ساقه له الحاكم في ’’المستدرك’’ (3/ 565/ 6327) سقط، بحيث أن الناظر يتوهم أنه شيخ الحاكم، وليس الأمر كذلك، فقد ساق الحافظ سند الحاكم لهذا الحديث في كتابه ’’إتحاف المهرة’’ (1/ 356) فقال: كم في المعرفة: ثنا أبو عبد الله الأصبهاني، ثنا الحسن بن الجهم، ثنا الحسين بن الفرج، ثنا محمد بن عمر الواقدي، ثنا سعيد بن عطاء بن أبي مروان، وذكره. وانظر ’’رجال الحاكم’’ (1/ 387).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2026-10-14T06:54:11+03:00</dcterms:created>
  <dcterms:modified xsi:type="dcterms:W3CDTF">2026-10-14T06:54:11+03:00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