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علي بن أحمد بن محمد بن عمران بن أبي بلال، أبو القاسم، المقرئ، العجلي، الكوفي.
</w:t>
      </w:r>
    </w:p>
    <w:p>
      <w:pPr>
        <w:jc w:val="start"/>
        <w:bidi/>
      </w:pPr>
      <w:r>
        <w:rPr>
          <w:rFonts w:ascii="arial" w:hAnsi="arial" w:eastAsia="arial" w:cs="arial"/>
          <w:sz w:val="28"/>
          <w:szCs w:val="28"/>
          <w:b w:val="1"/>
          <w:bCs w:val="1"/>
          <w:rtl/>
        </w:rPr>
        <w:t xml:space="preserve">زيد بن علي بن أحمد بن محمد بن عمران بن أبي بلال، أبو القاسم، المقرئ، العجلي، الكوفي.
</w:t>
      </w:r>
    </w:p>
    <w:p>
      <w:pPr/>
      <w:r>
        <w:rPr/>
        <w:t xml:space="preserve">زيد بن علي بن أحمد بن محمد بن عمران بن أبي بلال، أبو القاسم، المقرئ، العجلي، الكوفي. </w:t>
      </w:r>
    </w:p>
    <w:p/>
    <w:p>
      <w:pPr/>
      <w:r>
        <w:rPr/>
        <w:t xml:space="preserve">قرأ على: أحمد بن فرج المفسر، وعبد الله بن جعفر السواق، ومحمد بن أحمد الداجوني، وأبي بكر بن مجاهد.</w:t>
      </w:r>
    </w:p>
    <w:p/>
    <w:p>
      <w:pPr/>
      <w:r>
        <w:rPr/>
        <w:t xml:space="preserve">وقرأ عليه: بكر بن شاذان الواعظ، وعبيد الله بن عمر المصاحفي، وعبد الباقي بن الحسن، وطائفة سواهم.</w:t>
      </w:r>
    </w:p>
    <w:p/>
    <w:p>
      <w:pPr/>
      <w:r>
        <w:rPr/>
        <w:t xml:space="preserve">حدث عن: محمد بن عبد الله الحضرمي، وعلي بن العباس المقانعي، وعبد الله بن زيدان البجلي، والحسين بن محمد بن مصعب البجلي، ومحمد بن محمد بن عقبة الشيباني، وعبد الله بن محمد بن أسد الأصبهاني، وغيرهم.</w:t>
      </w:r>
    </w:p>
    <w:p/>
    <w:p>
      <w:pPr/>
      <w:r>
        <w:rPr/>
        <w:t xml:space="preserve">وعنه: أبو عبد الله الحاكم في ’’مستدركه’’، وأبو الحسن بن رزقويه، وعلي بن أحمد الحمامي، وأبو نعيم الأصبهاني، وغيرهم.</w:t>
      </w:r>
    </w:p>
    <w:p/>
    <w:p>
      <w:pPr/>
      <w:r>
        <w:rPr/>
        <w:t xml:space="preserve">قال الخطيب: كان صدوقاً. وقال الذهبي: أحد الحذاق، وشيخ العراق. وقال ابن الجزري: شيخ العراق، إمام حاذق، ثقة.</w:t>
      </w:r>
    </w:p>
    <w:p/>
    <w:p>
      <w:pPr/>
      <w:r>
        <w:rPr/>
        <w:t xml:space="preserve">مات في جمادى الأولى سنة ثمان وخمسين وثلاثمائة.</w:t>
      </w:r>
    </w:p>
    <w:p/>
    <w:p>
      <w:pPr/>
      <w:r>
        <w:rPr/>
        <w:t xml:space="preserve">قلت: [ثقة حاذق - والذي يظهر أن المراد بالحذق هنا الضبط.</w:t>
      </w:r>
    </w:p>
    <w:p/>
    <w:p>
      <w:pPr/>
      <w:r>
        <w:rPr/>
        <w:t xml:space="preserve">’’المستدرك’’ (1/ 400/1022)، ’’تاريخ بغداد’’ (8/ 449)، ’’تاريخ الإسلام’’ (26/ 178)، ’’العبر’’ (2/ 103)، ’’معرفة القراء’’ (2/ 606)، ’’مرآة الجنان’’ (2/ 371)، ’’غاية النهاية’’ (1/ 298)، ’’الشذرات’’ (4/ 305).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2026-10-14T07:06:50+03:00</dcterms:created>
  <dcterms:modified xsi:type="dcterms:W3CDTF">2026-10-14T07:06:50+03:00</dcterms:modified>
</cp:coreProperties>
</file>

<file path=docProps/custom.xml><?xml version="1.0" encoding="utf-8"?>
<Properties xmlns="http://schemas.openxmlformats.org/officeDocument/2006/custom-properties" xmlns:vt="http://schemas.openxmlformats.org/officeDocument/2006/docPropsVTypes"/>
</file>