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خطاب بن علي بن الخطاب، أبو محمد، القزويني.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خطاب بن علي بن الخطاب، أبو محمد، القزويني.
</w:t>
      </w:r>
    </w:p>
    <w:p>
      <w:pPr/>
      <w:r>
        <w:rPr/>
        <w:t xml:space="preserve">خطاب بن علي بن الخطاب، أبو محمد، القزويني. </w:t>
      </w:r>
    </w:p>
    <w:p/>
    <w:p>
      <w:pPr/>
      <w:r>
        <w:rPr/>
        <w:t xml:space="preserve">ذكره الحاكم في شيوخه الذي رزق السماع منهم بنيسابور.</w:t>
      </w:r>
    </w:p>
    <w:p/>
    <w:p>
      <w:pPr/>
      <w:r>
        <w:rPr/>
        <w:t xml:space="preserve">قلت: [مجهول الحال].</w:t>
      </w:r>
    </w:p>
    <w:p/>
    <w:p>
      <w:pPr/>
      <w:r>
        <w:rPr/>
        <w:t xml:space="preserve">’’مختصر تاريخ نيسابور’’ (42/ب).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2026-10-15T08:24:50+03:00</dcterms:created>
  <dcterms:modified xsi:type="dcterms:W3CDTF">2026-10-15T08:24:50+03:00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