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محمد، أبو علي،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محمد، أبو علي، البلخي.
</w:t>
      </w:r>
    </w:p>
    <w:p>
      <w:pPr/>
      <w:r>
        <w:rPr/>
        <w:t xml:space="preserve">الحسن بن علي بن محمد، أبو علي، البلخي.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قال مقيده - عفا الله عنه -: هناك الحسن بن علي بن محمد بن أحمد بن جعفر، أبو علي البلخي.</w:t>
      </w:r>
    </w:p>
    <w:p/>
    <w:p>
      <w:pPr/>
      <w:r>
        <w:rPr/>
        <w:t xml:space="preserve">ولد سنة خمس وثمانين وثلاثمائة، أي قبل وفاة الحاكم بعشرين سنة، فهل هو صاحب الترجمة، الأمر عندي محتمل، فالله أعلم.</w:t>
      </w:r>
    </w:p>
    <w:p/>
    <w:p>
      <w:pPr/>
      <w:r>
        <w:rPr/>
        <w:t xml:space="preserve">’’مختصر تاريخ نيسابور’’ (41/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2026-10-14T10:23:39+03:00</dcterms:created>
  <dcterms:modified xsi:type="dcterms:W3CDTF">2026-10-14T10:23:39+03:00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