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أحمد بن محمد بن أحمد بن حفص بن مسلم بن يزيد بن علي، أبو علي ابن أبي عمرو، الحرشي، النيسابوري، الحيري.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أحمد بن محمد بن أحمد بن حفص بن مسلم بن يزيد بن علي، أبو علي ابن أبي عمرو، الحرشي، النيسابوري، الحيري.
</w:t>
      </w:r>
    </w:p>
    <w:p>
      <w:pPr/>
      <w:r>
        <w:rPr/>
        <w:t xml:space="preserve">الحسن بن أحمد بن محمد بن أحمد بن حفص بن مسلم بن يزيد بن علي، أبو علي ابن أبي عمرو، الحرشي، النيسابوري، الحيري. </w:t>
      </w:r>
    </w:p>
    <w:p/>
    <w:p>
      <w:pPr/>
      <w:r>
        <w:rPr/>
        <w:t xml:space="preserve">سمع: أباه وأبا نعيم عبد الملك بن محمد بن عدي الاستراباذي، ورأى أبا العباس السراج، ولم يسمع منه.</w:t>
      </w:r>
    </w:p>
    <w:p/>
    <w:p>
      <w:pPr/>
      <w:r>
        <w:rPr/>
        <w:t xml:space="preserve">وعنه: أبو عبد الله الحاكم، وابنه القاضي أبو بكر أحمد بن الحسن.</w:t>
      </w:r>
    </w:p>
    <w:p/>
    <w:p>
      <w:pPr/>
      <w:r>
        <w:rPr/>
        <w:t xml:space="preserve">قلت: [مجهول الحال].</w:t>
      </w:r>
    </w:p>
    <w:p/>
    <w:p>
      <w:pPr/>
      <w:r>
        <w:rPr/>
        <w:t xml:space="preserve">مات في جمادى الآخرة سنة ثمان وثمانين وثلاثمائة، وصلى عليه ابنه، ودفن في داره.</w:t>
      </w:r>
    </w:p>
    <w:p/>
    <w:p>
      <w:pPr/>
      <w:r>
        <w:rPr/>
        <w:t xml:space="preserve">’’مختصر تاريخ نيسابور’’ (41/ أ)، ’’الأنساب’’ (2/ 241)، ’’تاريخ الإسلام’’ (27/ 163).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2026-10-14T10:27:52+03:00</dcterms:created>
  <dcterms:modified xsi:type="dcterms:W3CDTF">2026-10-14T10:27:52+03:00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