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محمد بن أحمد بن جعفر، أبو أحمد، الصوفي، الكاغذي،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محمد بن أحمد بن جعفر، أبو أحمد، الصوفي، الكاغذي، النيسابوري.
</w:t>
      </w:r>
    </w:p>
    <w:p>
      <w:pPr/>
      <w:r>
        <w:rPr/>
        <w:t xml:space="preserve">حامد بن محمد بن أحمد بن جعفر، أبو أحمد، الصوفي، الكاغذي، النيسابوري. </w:t>
      </w:r>
    </w:p>
    <w:p/>
    <w:p>
      <w:pPr/>
      <w:r>
        <w:rPr/>
        <w:t xml:space="preserve">سمع: أبا بكر محمد بن إسحاق بن خزيمة، وأبا العباس محمد بن إسحاق الثقفي، ومحمد بن علي المذكر.</w:t>
      </w:r>
    </w:p>
    <w:p/>
    <w:p>
      <w:pPr/>
      <w:r>
        <w:rPr/>
        <w:t xml:space="preserve">وعنه: أبو عبد الله الحاكم في كتابه ’’المعرفة’’.</w:t>
      </w:r>
    </w:p>
    <w:p/>
    <w:p>
      <w:pPr/>
      <w:r>
        <w:rPr/>
        <w:t xml:space="preserve">وقال في ’’تاريخه’’: أبو أحمد، صاحب اللسان والبيان، خرج إلى سجستان سنة ثلاث وخمسين وثلاثمائة، فصار خطيب الناحية، وتوفي بها سنة ست وخمسين وثلاثمائة.</w:t>
      </w:r>
    </w:p>
    <w:p/>
    <w:p>
      <w:pPr/>
      <w:r>
        <w:rPr/>
        <w:t xml:space="preserve">قلت: [صدوق - وكونه خطيب الناحية يدل على اشتهاره، ولو كان فيه ما يقدح فيه لأجله لذكروه، والله أعلم.</w:t>
      </w:r>
    </w:p>
    <w:p/>
    <w:p>
      <w:pPr/>
      <w:r>
        <w:rPr/>
        <w:t xml:space="preserve">’’المعرفة’’ (386)، ’’مختصر تاريخ نيسابور’’ (42/ ب)، ’’الأنساب’’ (3/ 574).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2026-10-14T11:15:35+03:00</dcterms:created>
  <dcterms:modified xsi:type="dcterms:W3CDTF">2026-10-14T11:15:35+03:00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