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مطر،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مطر، النيسابوري.
</w:t>
      </w:r>
    </w:p>
    <w:p>
      <w:pPr/>
      <w:r>
        <w:rPr/>
        <w:t xml:space="preserve">جعفر بن مطر، النيسابوري. </w:t>
      </w:r>
    </w:p>
    <w:p/>
    <w:p>
      <w:pPr/>
      <w:r>
        <w:rPr/>
        <w:t xml:space="preserve">سمع: محمد بن أيوب بن الضريس، وأبا خليفة.</w:t>
      </w:r>
    </w:p>
    <w:p/>
    <w:p>
      <w:pPr/>
      <w:r>
        <w:rPr/>
        <w:t xml:space="preserve">وعنه: أبو عبد الله الحاكم، وغيره.</w:t>
      </w:r>
    </w:p>
    <w:p/>
    <w:p>
      <w:pPr/>
      <w:r>
        <w:rPr/>
        <w:t xml:space="preserve">قال الذهبي في ’’تاريخه’’: رحل وسمع، وروى عنه الحاكم، وغيره، مات سنة ست وخمسين وثلاثمائة.</w:t>
      </w:r>
    </w:p>
    <w:p/>
    <w:p>
      <w:pPr/>
      <w:r>
        <w:rPr/>
        <w:t xml:space="preserve">قلت: [صدوق - وفي بعض التراجم قد أحكم بأنه ثقة، إذا كان مشهوراً بالرحلة وكثرة الشيوخ والتلاميذ؛ وهذا ليس كذلك.</w:t>
      </w:r>
    </w:p>
    <w:p/>
    <w:p>
      <w:pPr/>
      <w:r>
        <w:rPr/>
        <w:t xml:space="preserve">’’تاريخ الإسلام’’ (26/ 140).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2026-10-14T11:12:08+03:00</dcterms:created>
  <dcterms:modified xsi:type="dcterms:W3CDTF">2026-10-14T11:12:08+03:00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