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رستم بن أحمد بن عبد الله، أبو سعد، الرستمي، الهروي.
</w:t>
      </w:r>
    </w:p>
    <w:p>
      <w:pPr>
        <w:jc w:val="start"/>
        <w:bidi/>
      </w:pPr>
      <w:r>
        <w:rPr>
          <w:rFonts w:ascii="arial" w:hAnsi="arial" w:eastAsia="arial" w:cs="arial"/>
          <w:sz w:val="28"/>
          <w:szCs w:val="28"/>
          <w:b w:val="1"/>
          <w:bCs w:val="1"/>
          <w:rtl/>
        </w:rPr>
        <w:t xml:space="preserve">أسد بن رستم بن أحمد بن عبد الله، أبو سعد، الرستمي، الهروي.
</w:t>
      </w:r>
    </w:p>
    <w:p>
      <w:pPr/>
      <w:r>
        <w:rPr/>
        <w:t xml:space="preserve">أسد بن رستم بن أحمد بن عبد الله، أبو سعد، الرستمي، الهروي. </w:t>
      </w:r>
    </w:p>
    <w:p/>
    <w:p>
      <w:pPr/>
      <w:r>
        <w:rPr/>
        <w:t xml:space="preserve">سمع: الحسن بن عمران الحنضلي، وأبا نصر منصور بن محمد المطرفي، وأبا علي أحمد بن محمد بن خالد العطار الهرويني، وغيرهم.</w:t>
      </w:r>
    </w:p>
    <w:p/>
    <w:p>
      <w:pPr/>
      <w:r>
        <w:rPr/>
        <w:t xml:space="preserve">وعنه: أبو عبد الله الحاكم، وأبو عثمان إسماعيل بن عبد الرحمن الصابوني، وأبو يعلى عبد الواحد، وابن أخته الحسن الكتبيان.</w:t>
      </w:r>
    </w:p>
    <w:p/>
    <w:p>
      <w:pPr/>
      <w:r>
        <w:rPr/>
        <w:t xml:space="preserve">قال الحاكم في ’’تاريخه’’: من أهل هراة، كان من فضلاءها المبرزين، من المشهورين بالسماع والطلب وصحبة المشايخ، وهو الذي قد كان أبو عبد الله الوضاحي أنشدنا فيه ونحن بطوس سنة اثنتين وأربعين وثلاثمائة:</w:t>
      </w:r>
    </w:p>
    <w:p/>
    <w:p>
      <w:pPr/>
      <w:r>
        <w:rPr/>
        <w:t xml:space="preserve">أقسمت بالنرجس والورد....</w:t>
      </w:r>
    </w:p>
    <w:p/>
    <w:p>
      <w:pPr/>
      <w:r>
        <w:rPr/>
        <w:t xml:space="preserve">أبيات له يقول في آخرها:</w:t>
      </w:r>
    </w:p>
    <w:p/>
    <w:p>
      <w:pPr>
        <w:jc w:val="center"/>
      </w:pPr>
      <w:r>
        <w:rPr>
          <w:color w:val="ff0000"/>
        </w:rPr>
        <w:t xml:space="preserve">ما خلق الرحمن في خلقه</w:t>
      </w:r>
      <w:r>
        <w:rPr>
          <w:color w:val="ff0000"/>
        </w:rPr>
        <w:t xml:space="preserve">      </w:t>
      </w:r>
      <w:r>
        <w:rPr>
          <w:color w:val="ff0000"/>
        </w:rPr>
        <w:t xml:space="preserve">أكمل ظرفاً من أبي سعد</w:t>
      </w:r>
    </w:p>
    <w:p/>
    <w:p>
      <w:pPr/>
      <w:r>
        <w:rPr/>
        <w:t xml:space="preserve">فقدم أبو سعد الرستمي بنيسابور حاجاً سنة اثنتين وثمانين وثلاثمائة، وحدث عندنا وبالعراق، وقال أبو يعلى عبد الواحد الكبتي: قدم علينا حاجاً وسمعنا منه في صفر سنة اثنتين وثمانين وثلاثمائة في جامع المنصورة.</w:t>
      </w:r>
    </w:p>
    <w:p/>
    <w:p>
      <w:pPr/>
      <w:r>
        <w:rPr/>
        <w:t xml:space="preserve">قلت: [ثقة فاضل - وإطناب الحاكم في مدحه يرفع من قدره، وإن كان الحاكم يتساهل في الجملة، إلا أنه في مثل هذا الإطناب يستبعد أن يكون الحال على خلاف هذا، إلا إذا خولف الحاكم فشيء آخر.</w:t>
      </w:r>
    </w:p>
    <w:p/>
    <w:p>
      <w:pPr/>
      <w:r>
        <w:rPr/>
        <w:t xml:space="preserve">’’مختصر تاريخ نيسابور’’ (40/ ب)، ’’تاريخ بغداد’’ (7/ 20)، ’’الأنساب’’ (3/ 69).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2026-10-14T11:15:02+03:00</dcterms:created>
  <dcterms:modified xsi:type="dcterms:W3CDTF">2026-10-14T11:15:02+03:00</dcterms:modified>
</cp:coreProperties>
</file>

<file path=docProps/custom.xml><?xml version="1.0" encoding="utf-8"?>
<Properties xmlns="http://schemas.openxmlformats.org/officeDocument/2006/custom-properties" xmlns:vt="http://schemas.openxmlformats.org/officeDocument/2006/docPropsVTypes"/>
</file>