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إبراهيم بن محمد بن إبراهيم بن عمار بن يحيى بن العباس بن عبد الرحمن بن سالم بن قيس بن سعد بن عبادة، أبو يعقوب
</w:t>
      </w:r>
    </w:p>
    <w:p>
      <w:pPr>
        <w:jc w:val="start"/>
        <w:bidi/>
      </w:pPr>
      <w:r>
        <w:rPr>
          <w:rFonts w:ascii="arial" w:hAnsi="arial" w:eastAsia="arial" w:cs="arial"/>
          <w:sz w:val="28"/>
          <w:szCs w:val="28"/>
          <w:b w:val="1"/>
          <w:bCs w:val="1"/>
          <w:rtl/>
        </w:rPr>
        <w:t xml:space="preserve">إسحاق بن إبراهيم بن محمد بن إبراهيم بن عمار بن يحيى بن العباس بن عبد الرحمن بن سالم بن قيس بن سعد بن عبادة، أبو يعقوب
</w:t>
      </w:r>
    </w:p>
    <w:p>
      <w:pPr/>
      <w:r>
        <w:rPr/>
        <w:t xml:space="preserve">إسحاق بن إبراهيم بن محمد بن إبراهيم بن عمار بن يحيى بن العباس بن عبد الرحمن بن سالم بن قيس بن سعد بن عبادة، أبو يعقوب، الخزرجي، العماري، النيسابوري. </w:t>
      </w:r>
    </w:p>
    <w:p/>
    <w:p>
      <w:pPr/>
      <w:r>
        <w:rPr/>
        <w:t xml:space="preserve">حدث عن: أبي بكر محمد بن إسحاق بن خزيمة.</w:t>
      </w:r>
    </w:p>
    <w:p/>
    <w:p>
      <w:pPr/>
      <w:r>
        <w:rPr/>
        <w:t xml:space="preserve">وعنه: أبو عبد الله الحاكم في ’’مستدركه’’.</w:t>
      </w:r>
    </w:p>
    <w:p/>
    <w:p>
      <w:pPr/>
      <w:r>
        <w:rPr/>
        <w:t xml:space="preserve">وقال في ’’تاريخه’’: كان يديم الاختلاف معنا لسماع الحديث، ويكتب بخطه، ويواظب على العلم، ثم خرج إلى الحج، وكان عديل الحاكم أبي الطيب بن فورس، فانصرف ومرض، ثم جن، وبقي على ذلك سنين إلى أن توفي بعد التسعين والثلاثمائة.</w:t>
      </w:r>
    </w:p>
    <w:p/>
    <w:p>
      <w:pPr/>
      <w:r>
        <w:rPr/>
        <w:t xml:space="preserve">قال مقيده - عفا الله عنه -: روى عنه الحاكم في ’’المستدرك’’ فقال: حدثنا إسحاق بن إبراهيم بن محمد بن يحيى ثنا أبو بكر محمد بن إسحاق.</w:t>
      </w:r>
    </w:p>
    <w:p/>
    <w:p>
      <w:pPr/>
      <w:r>
        <w:rPr/>
        <w:t xml:space="preserve">كذا نسب جده إلى جده الأعلى، ولذلك بيض له شيخنا - رحمه الله تعالي - في ’’رجال الحاكم’’ وعلق أخونا الفاضل مقبول الوجيه على ذلك بقوله: الظاهر أنه أبو إسحاق إبراهيم بن محمد بن يحيى المزكي. وقد تقدم اهـ.</w:t>
      </w:r>
    </w:p>
    <w:p/>
    <w:p>
      <w:pPr/>
      <w:r>
        <w:rPr/>
        <w:t xml:space="preserve">قلت: [ثقة - ومن كان مشهوراً بالطلب، مواظباً عليه، فالأصل أنه ثقة إلا أن يجرح.</w:t>
      </w:r>
    </w:p>
    <w:p/>
    <w:p>
      <w:pPr/>
      <w:r>
        <w:rPr/>
        <w:t xml:space="preserve">’’المستدرك’’ (1/ 319/ 771)، ’’مختصر تاريخ نيسابور’’ (40/ ب)، ’’الأنساب’’ (4/ 207)، ’’تاريخ بيهق’’ (249)، ’’رجال الحاكم’’ (1/ 219).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2026-10-14T12:19:00+03:00</dcterms:created>
  <dcterms:modified xsi:type="dcterms:W3CDTF">2026-10-14T12:19:00+03:00</dcterms:modified>
</cp:coreProperties>
</file>

<file path=docProps/custom.xml><?xml version="1.0" encoding="utf-8"?>
<Properties xmlns="http://schemas.openxmlformats.org/officeDocument/2006/custom-properties" xmlns:vt="http://schemas.openxmlformats.org/officeDocument/2006/docPropsVTypes"/>
</file>