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 بن محمد، أبو الحسن، الزهري، الخرزي، البغدادي، نزيل نيسابور.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 بن محمد، أبو الحسن، الزهري، الخرزي، البغدادي، نزيل نيسابور.
</w:t>
      </w:r>
    </w:p>
    <w:p>
      <w:pPr/>
      <w:r>
        <w:rPr/>
        <w:t xml:space="preserve">أحمد بن نصر بن محمد، أبو الحسن، الزهري، الخرزي، البغدادي، نزيل نيسابور. </w:t>
      </w:r>
    </w:p>
    <w:p/>
    <w:p>
      <w:pPr/>
      <w:r>
        <w:rPr/>
        <w:t xml:space="preserve">سمع: أبا عبد الله بن مخلد، وأبا عبد الله المحاملي.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نزل نيسابور في المدينة الداخلة، سمعته غير مرة يذكر سماعه من ابن مخلد، والمحاملي، وتوفي بنيسابور في شهر رمضان من سنة ثمانين وثلاثمائة، ودفن في مقبرة الحيرة.</w:t>
      </w:r>
    </w:p>
    <w:p/>
    <w:p>
      <w:pPr/>
      <w:r>
        <w:rPr/>
        <w:t xml:space="preserve">سمعت أبا الحسن أحمد بن نصر بن محمد الزهري البغدادي الخرزي نزيل نيسابور يقول: أنشدني نصر بن أحمد الخبزأرزي لنفسه:</w:t>
      </w:r>
    </w:p>
    <w:p/>
    <w:p>
      <w:pPr>
        <w:jc w:val="center"/>
      </w:pPr>
      <w:r>
        <w:rPr>
          <w:color w:val="ff0000"/>
        </w:rPr>
        <w:t xml:space="preserve">وكان الصديق يزور الصديـ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 لشرب المدام وعزف القيان</w:t>
      </w:r>
    </w:p>
    <w:p/>
    <w:p>
      <w:pPr>
        <w:jc w:val="center"/>
      </w:pPr>
      <w:r>
        <w:rPr>
          <w:color w:val="ff0000"/>
        </w:rPr>
        <w:t xml:space="preserve">فصار الصديق يزور الصديـ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 ليث الهموم وشكوى الزمان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(39/ ب)، ’’الشعب’’ (11/ 39)، ’’تاريخ بغداد’’ (5/ 184)، ’’الأنساب’’ (2/ 396)، ’’مختصره’’ (1/ 432)، ’’تبصير المنتبه’’ (1/ 325)، ’’الإكمال’’ (2/ 201).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2026-10-14T11:55:25+03:00</dcterms:created>
  <dcterms:modified xsi:type="dcterms:W3CDTF">2026-10-14T11:55:25+03:00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