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موسى، الفقيه.
</w:t>
      </w:r>
    </w:p>
    <w:p>
      <w:pPr/>
      <w:r>
        <w:rPr/>
        <w:t xml:space="preserve">أحمد بن موسى، الفقيه. </w:t>
      </w:r>
    </w:p>
    <w:p/>
    <w:p>
      <w:pPr/>
      <w:r>
        <w:rPr/>
        <w:t xml:space="preserve">كذا في ’’المستدرك’’ (4/ 275/ 7367)، وصوابه: محمد بن موسى الفقيه؛ كما في ’’إتحاف المهرة’’ (15/ 588)، وانظر ’’رجال الحاكم’’ (1/ 202 - 203)، و’’تهذيبه’’ ص (32).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2026-10-14T11:50:36+03:00</dcterms:created>
  <dcterms:modified xsi:type="dcterms:W3CDTF">2026-10-14T11:50:36+03:00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