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محمد، المقرئ.
</w:t>
      </w:r>
    </w:p>
    <w:p>
      <w:pPr/>
      <w:r>
        <w:rPr/>
        <w:t xml:space="preserve">أحمد بن محمد، المقرئ. </w:t>
      </w:r>
    </w:p>
    <w:p/>
    <w:p>
      <w:pPr/>
      <w:r>
        <w:rPr/>
        <w:t xml:space="preserve">كذا في ’’المستدرك’’ (4/ 215) وصوابه: أحمد بن محمد، العنزي؛ كما في ’’إتحاف المهرة’’ (7/ 42)، وقد تقدم في: أحمد بن محمد بن عبدوس.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2026-10-14T12:08:38+03:00</dcterms:created>
  <dcterms:modified xsi:type="dcterms:W3CDTF">2026-10-14T12:08:38+03:00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