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عمر بن أحمد بن حفص بن حبان، أبو عمرو، المقرئ، الحذاء، البخاري.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عمر بن أحمد بن حفص بن حبان، أبو عمرو، المقرئ، الحذاء، البخاري.
</w:t>
      </w:r>
    </w:p>
    <w:p>
      <w:pPr/>
      <w:r>
        <w:rPr/>
        <w:t xml:space="preserve">أحمد بن محمد بن عمر بن أحمد بن حفص بن حبان، أبو عمرو، المقرئ، الحذاء، البخاري. </w:t>
      </w:r>
    </w:p>
    <w:p/>
    <w:p>
      <w:pPr/>
      <w:r>
        <w:rPr/>
        <w:t xml:space="preserve">حدث عن: محمد بن يوسف الفربري، وأبي أحمد بن عبد الواحد بن رفيد، وأبي سعيد بكير بن منير بن حليد، وأبي جعفر محمد بن عبد الرحمن الأصبهاني، وأسد بن حمويه النسفي، وغيرهم.</w:t>
      </w:r>
    </w:p>
    <w:p/>
    <w:p>
      <w:pPr/>
      <w:r>
        <w:rPr/>
        <w:t xml:space="preserve">وعنه: أبو عبد الله الحاكم ووصفه بالمقرئ، وذكر أنه حدثه ببخارى، وأبو عبد الله غنجار الحافظ.</w:t>
      </w:r>
    </w:p>
    <w:p/>
    <w:p>
      <w:pPr/>
      <w:r>
        <w:rPr/>
        <w:t xml:space="preserve">مات في جمادى الأولى سنة ستين وثلاثمائة.</w:t>
      </w:r>
    </w:p>
    <w:p/>
    <w:p>
      <w:pPr/>
      <w:r>
        <w:rPr/>
        <w:t xml:space="preserve">وقال محقق ’’الشعب’’ الندوي: لم أظفر له بترجمته.</w:t>
      </w:r>
    </w:p>
    <w:p/>
    <w:p>
      <w:pPr/>
      <w:r>
        <w:rPr/>
        <w:t xml:space="preserve">قلت: [صدوق مقرئ].</w:t>
      </w:r>
    </w:p>
    <w:p/>
    <w:p>
      <w:pPr/>
      <w:r>
        <w:rPr/>
        <w:t xml:space="preserve">’’الشعب’’ (8/ 511/ 6160)، ’’الزهد’’ (845)، ’’الأنساب’’ (2/ 228).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2026-10-14T13:19:40+03:00</dcterms:created>
  <dcterms:modified xsi:type="dcterms:W3CDTF">2026-10-14T13:19:40+03:00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