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صالح بن إسحاق بن عبد الله بن محمد بن عبد ربه بن الهيثم بن الربيع بن عبدة بن مري بن سالم 
</w:t>
      </w:r>
    </w:p>
    <w:p>
      <w:pPr>
        <w:jc w:val="start"/>
        <w:bidi/>
      </w:pPr>
      <w:r>
        <w:rPr>
          <w:rFonts w:ascii="arial" w:hAnsi="arial" w:eastAsia="arial" w:cs="arial"/>
          <w:sz w:val="28"/>
          <w:szCs w:val="28"/>
          <w:b w:val="1"/>
          <w:bCs w:val="1"/>
          <w:rtl/>
        </w:rPr>
        <w:t xml:space="preserve">أحمد بن محمد بن صالح بن إسحاق بن عبد الله بن محمد بن عبد ربه بن الهيثم بن الربيع بن عبدة بن مري بن سالم 
</w:t>
      </w:r>
    </w:p>
    <w:p>
      <w:pPr/>
      <w:r>
        <w:rPr/>
        <w:t xml:space="preserve">أحمد بن محمد بن صالح بن إسحاق بن عبد الله بن محمد بن عبد ربه بن الهيثم بن الربيع بن عبدة بن مري بن سالم بن عامر بن عبد الحارث بن عمرو بن كعب بن سعد بن زيد بن مناة بن تميم، أبو العباس التميمي، القاضي، المنصوري، الفقيه الظاهري. </w:t>
      </w:r>
    </w:p>
    <w:p/>
    <w:p>
      <w:pPr/>
      <w:r>
        <w:rPr/>
        <w:t xml:space="preserve">سمع بفارس: أبا العباس الأثرم، وبالبصرة: أبا روق الهزاني، وطبقتهما.</w:t>
      </w:r>
    </w:p>
    <w:p/>
    <w:p>
      <w:pPr/>
      <w:r>
        <w:rPr/>
        <w:t xml:space="preserve">وعنه: أبو عبد الله الحاكم.</w:t>
      </w:r>
    </w:p>
    <w:p/>
    <w:p>
      <w:pPr/>
      <w:r>
        <w:rPr/>
        <w:t xml:space="preserve">وقال في ’’تاريخه’’: من أهل المنصورة، سكن العراق، وكان من ظرف من رأيته من العلماء، ورد في جملة الرسل الذين خرجوا إلى بخارى سنة ستين وثلاثمائة، وكنت أنا ببخارى، فكتبت عنه، سمع بفارس وبالبصرة، ثم انصرف من خراسان إلى القضاء بأرجان. وقال أبو الفضل المقدسي: كان إماماً على مذهب داود بن علي الأصبهاني، له نسب في بني تميم. وقال الذهبي: روى عن أبي روق الهزاني حديثاً باطلاً هو آفته.</w:t>
      </w:r>
    </w:p>
    <w:p/>
    <w:p>
      <w:pPr/>
      <w:r>
        <w:rPr/>
        <w:t xml:space="preserve">وقال في ترجمته أبي روق من ’’الميزان’’ بعد أن ذكر الحديث المشار إليه؛ ولفظه ’’أول من قاس إبليس فلا تقيسوا’’: العمل فيه على المنصوري، وكان ظاهرياً.</w:t>
      </w:r>
    </w:p>
    <w:p/>
    <w:p>
      <w:pPr/>
      <w:r>
        <w:rPr/>
        <w:t xml:space="preserve">قلت: [صدوق فقيه ظاهري، اتهمه الذهبي في حديث - والحاكم والمقدسي أعلم به من الذهبي، فلعله دلس الحديث أو وهم فيه، ويبعد أن يكون تعمده، مع وصف الحاكم له بأنه من العلماء، ووصف المقدسي له بالإمامة في مذهب داود، ولولا كلمة الذهبي لأطلقت توثيقه، والله أعلم.</w:t>
      </w:r>
    </w:p>
    <w:p/>
    <w:p>
      <w:pPr/>
      <w:r>
        <w:rPr/>
        <w:t xml:space="preserve">’’مختصر تاريخ نيسابور’’ (39/ أ)، ’’الإنساب المتفقة’’ (153)، ’’الأنساب’’ (5/ 287)، ’’مختصره’’ (3/ 263)، ’’الميزان’’ (1/ 141)، ’’الكشف الحثيث’’ (99)، ’’اللسان’’ (1/ 615)، ’’تنزيه الشريعة’’ (1/ 32).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2026-10-14T13:57:11+03:00</dcterms:created>
  <dcterms:modified xsi:type="dcterms:W3CDTF">2026-10-14T13:57:11+03:00</dcterms:modified>
</cp:coreProperties>
</file>

<file path=docProps/custom.xml><?xml version="1.0" encoding="utf-8"?>
<Properties xmlns="http://schemas.openxmlformats.org/officeDocument/2006/custom-properties" xmlns:vt="http://schemas.openxmlformats.org/officeDocument/2006/docPropsVTypes"/>
</file>