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محمد بن يحيى، أبو النضر، الأنماطي، الحفيد، النيسابوري، الفقيه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محمد بن يحيى، أبو النضر، الأنماطي، الحفيد، النيسابوري، الفقيه الحنفي
</w:t>
      </w:r>
    </w:p>
    <w:p>
      <w:pPr/>
      <w:r>
        <w:rPr/>
        <w:t xml:space="preserve">أحمد بن محمد بن أحمد بن محمد بن يحيى، أبو النضر، الأنماطي، الحفيد، النيسابوري، الفقيه الحنفي، ابن بنت أبي يحيى البزار. </w:t>
      </w:r>
    </w:p>
    <w:p/>
    <w:p>
      <w:pPr/>
      <w:r>
        <w:rPr/>
        <w:t xml:space="preserve">حدث عن: أبي محمد عبد الله، وأبي حامد أحمد ابني محمد بن الحسن الشرقي، ومكي بن عبدان التميمي، وأبي إسحاق محمد بن أحمد المناديلي، وغيرهم.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أبو النضر الحفيد ابن ابنة أبي يحيى البزاز، ما علمت من أصحاب الري - أي: أصحاب أبي حنيفة - بنيسابور أكثر سماعاً للحديث منه، سمع أبا عمرو الحيري، والمؤمل بن الحسن، وأقرانهما، وأكثر السماع بنيسابور.</w:t>
      </w:r>
    </w:p>
    <w:p/>
    <w:p>
      <w:pPr/>
      <w:r>
        <w:rPr/>
        <w:t xml:space="preserve">قلت: [ثقة - والاجتهاد في الطلب مع السلامة من الجرح دال على التوثيق.</w:t>
      </w:r>
    </w:p>
    <w:p/>
    <w:p>
      <w:pPr/>
      <w:r>
        <w:rPr/>
        <w:t xml:space="preserve">’’مختصر تاريخ نيسابور’’ (38/ ب)، ’’القراءة خلف الإمام’’</w:t>
      </w:r>
    </w:p>
    <w:p/>
    <w:p>
      <w:pPr/>
      <w:r>
        <w:rPr/>
        <w:t xml:space="preserve">ص (159)، ’’الإنساب’’ (2/ 283)، ’’الجواهر المضية’’ (1/ 253)، ’’الطبقات السنية’’ (2/ 37).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2026-10-14T14:38:02+03:00</dcterms:created>
  <dcterms:modified xsi:type="dcterms:W3CDTF">2026-10-14T14:38:02+03:00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