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إبراهيم، أبو عمرو، الزوزني، الفقيه الحنفي.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إبراهيم، أبو عمرو، الزوزني، الفقيه الحنفي.
</w:t>
      </w:r>
    </w:p>
    <w:p>
      <w:pPr/>
      <w:r>
        <w:rPr/>
        <w:t xml:space="preserve">أحمد بن محمد بن إبراهيم، أبو عمرو، الزوزني، الفقيه الحنفي. </w:t>
      </w:r>
    </w:p>
    <w:p/>
    <w:p>
      <w:pPr/>
      <w:r>
        <w:rPr/>
        <w:t xml:space="preserve">حدث عن: أبيه، وأبي قريش محمد بن جمعة، وغيرهما.</w:t>
      </w:r>
    </w:p>
    <w:p/>
    <w:p>
      <w:pPr/>
      <w:r>
        <w:rPr/>
        <w:t xml:space="preserve">وعنه: أبو عبد الله الحاكم، ووصفه بالكاتب.</w:t>
      </w:r>
    </w:p>
    <w:p/>
    <w:p>
      <w:pPr/>
      <w:r>
        <w:rPr/>
        <w:t xml:space="preserve">قال السمعاني: كان قد تفقه على مذهب أبي حنيفة - رحمه الله - وكان يسكن باب عزرة سنين، ثم تحول إلى الزوزن، ومات بها في سنة خمس وسبعين وثلاثمائة.</w:t>
      </w:r>
    </w:p>
    <w:p/>
    <w:p>
      <w:pPr/>
      <w:r>
        <w:rPr/>
        <w:t xml:space="preserve">قلت: [النفس إلى كونه صدوقاً أميل].</w:t>
      </w:r>
    </w:p>
    <w:p/>
    <w:p>
      <w:pPr/>
      <w:r>
        <w:rPr/>
        <w:t xml:space="preserve">’’مختصر تاريخ نيسابور’’ (38/ ب)، ’’الإنساب’’ (3/ 196)، ’’تاريخ الإسلام’’ (26/ 569)، ’’الجواهر المضية’’ (1/ 244)، ’’الطبقات السنية’’ (2/ 16).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2026-10-14T15:02:45+03:00</dcterms:created>
  <dcterms:modified xsi:type="dcterms:W3CDTF">2026-10-14T15:02:45+03:00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