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إبراهيم، أبو سعيد، النيسابور، الجوري، الفقيه الحنفي.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إبراهيم، أبو سعيد، النيسابور، الجوري، الفقيه الحنفي.
</w:t>
      </w:r>
    </w:p>
    <w:p>
      <w:pPr/>
      <w:r>
        <w:rPr/>
        <w:t xml:space="preserve">أحمد بن محمد بن إبراهيم، أبو سعيد، النيسابور، الجوري، الفقيه الحنفي. </w:t>
      </w:r>
    </w:p>
    <w:p/>
    <w:p>
      <w:pPr/>
      <w:r>
        <w:rPr/>
        <w:t xml:space="preserve">حدث عن: أبي بكر بن خزيمة، وأبي محمد بن سفيان، وعبد الرحمن بن الحسين الحنفي، وأبي نعيم ابن عدي، وابن شنبوذ المقرئ، ومكي بن عبدان، وغيرهم.</w:t>
      </w:r>
    </w:p>
    <w:p/>
    <w:p>
      <w:pPr/>
      <w:r>
        <w:rPr/>
        <w:t xml:space="preserve">وعنه: أبو عبد الله الحاكم، وأبو حفص بن مسرور، وجماعة آخرهم أبو سعد الكنجروذي.</w:t>
      </w:r>
    </w:p>
    <w:p/>
    <w:p>
      <w:pPr/>
      <w:r>
        <w:rPr/>
        <w:t xml:space="preserve">قال الذهبي: الشيخ، الفقيه، المسند، درس وأفتى مدة، وعمر دهراً.</w:t>
      </w:r>
    </w:p>
    <w:p/>
    <w:p>
      <w:pPr/>
      <w:r>
        <w:rPr/>
        <w:t xml:space="preserve">وقال مرة: الفقيه المزكي، درس وأفتى زماناً على مذهب أبي حنيفة. وقال ابن أبي الوفاء: شيخ نيسابور في عصره. وقال محقق ’’الشعب’’: لم أعرفه.</w:t>
      </w:r>
    </w:p>
    <w:p/>
    <w:p>
      <w:pPr/>
      <w:r>
        <w:rPr/>
        <w:t xml:space="preserve">توفي في شهر رمضان سنة ثلاث وثمانين وثلاثمائة.</w:t>
      </w:r>
    </w:p>
    <w:p/>
    <w:p>
      <w:pPr/>
      <w:r>
        <w:rPr/>
        <w:t xml:space="preserve">قلت: [ثقة فقيه].</w:t>
      </w:r>
    </w:p>
    <w:p/>
    <w:p>
      <w:pPr/>
      <w:r>
        <w:rPr/>
        <w:t xml:space="preserve">’’الشعب’’ (11/ 59)، ’’الإكمال’’ (3/ 13)، ’’النبلاء’’ (16/ 430)، ’’تاريخ الإسلام’’ (27/ 59)، ’’الجواهر المضية’’ (1/ 241)، ’’توضيح المشتبه’’ (2/ 517)، ’’تبصير المنتبه’’ (1/ 370)، ’’الطبقات السنية’’ (2/ 16).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2026-10-14T15:03:51+03:00</dcterms:created>
  <dcterms:modified xsi:type="dcterms:W3CDTF">2026-10-14T15:03:51+03:00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