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إبراهيم، أبو جعفر،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إبراهيم، أبو جعفر، الجرجاني.
</w:t>
      </w:r>
    </w:p>
    <w:p>
      <w:pPr/>
      <w:r>
        <w:rPr/>
        <w:t xml:space="preserve">أحمد بن محمد بن إبراهيم، أبو جعفر، الجرجاني. </w:t>
      </w:r>
    </w:p>
    <w:p/>
    <w:p>
      <w:pPr/>
      <w:r>
        <w:rPr/>
        <w:t xml:space="preserve">ذكره الحاكم في شيوخه وقال: الأديب الفقيه، نزيل نيسابور. وبهذا ترجمه ابن الملقن في ’’العقد المذهب’’، وزاد قوله: ذكره الحاكم، ولا أعرف وفاته.</w:t>
      </w:r>
    </w:p>
    <w:p/>
    <w:p>
      <w:pPr/>
      <w:r>
        <w:rPr/>
        <w:t xml:space="preserve">قلت: [صدوق - وإذا كان أديباً فقيهاً ولم يطعن فيه فهذا يدل على</w:t>
      </w:r>
    </w:p>
    <w:p/>
    <w:p>
      <w:pPr/>
      <w:r>
        <w:rPr/>
        <w:t xml:space="preserve">ثقته ولتساهل الحاكم حكمت بما سبق.</w:t>
      </w:r>
    </w:p>
    <w:p/>
    <w:p>
      <w:pPr/>
      <w:r>
        <w:rPr/>
        <w:t xml:space="preserve">’’مختصر تاريخ نيسابور’’ (38/ أ)، ’’العقد المذهب’’ (962).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2026-10-14T15:02:16+03:00</dcterms:created>
  <dcterms:modified xsi:type="dcterms:W3CDTF">2026-10-14T15:02:16+03:00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