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محمد، أبو عمرو، الوراق،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محمد، أبو عمرو، الوراق، النيسابوري.
</w:t>
      </w:r>
    </w:p>
    <w:p>
      <w:pPr/>
      <w:r>
        <w:rPr/>
        <w:t xml:space="preserve">أحمد بن علي بن محمد، أبو عمرو، الوراق،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 - وتحديد موضع السماع منه دليل على رفع جهالة العين.</w:t>
      </w:r>
    </w:p>
    <w:p/>
    <w:p>
      <w:pPr/>
      <w:r>
        <w:rPr/>
        <w:t xml:space="preserve">’’مختصر تاريخ نيسابور’’ (38/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2026-10-14T15:42:58+03:00</dcterms:created>
  <dcterms:modified xsi:type="dcterms:W3CDTF">2026-10-14T15:42:58+03:00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