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علي بن محمد الفامي، أبو بكر، النيسابوري، ختن الحاكم أبي علي الجنابذي.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علي بن محمد الفامي، أبو بكر، النيسابوري، ختن الحاكم أبي علي الجنابذي.
</w:t>
      </w:r>
    </w:p>
    <w:p>
      <w:pPr/>
      <w:r>
        <w:rPr/>
        <w:t xml:space="preserve">أحمد بن علي بن محمد الفامي، أبو بكر، النيسابوري، ختن الحاكم أبي علي الجنابذي. </w:t>
      </w:r>
    </w:p>
    <w:p/>
    <w:p>
      <w:pPr/>
      <w:r>
        <w:rPr/>
        <w:t xml:space="preserve">حدث عن غسان بن أحمد صاحب الربيع بن سليمان، وأحمد بن سلمة بن عبد الله البزاز.</w:t>
      </w:r>
    </w:p>
    <w:p/>
    <w:p>
      <w:pPr/>
      <w:r>
        <w:rPr/>
        <w:t xml:space="preserve">وعنه: أبو عبد الله الحاكم، ووصفه بالقاضي، وذكر أنه ختن الحاكم أبي علي الحنابدي، وأبو الحسن بن رزقويه.</w:t>
      </w:r>
    </w:p>
    <w:p/>
    <w:p>
      <w:pPr/>
      <w:r>
        <w:rPr/>
        <w:t xml:space="preserve">ترجمه الخطيب في ’’تاريخه’’ ولم يذكر فيه جرحاً ولا تعديلاً، وقال محقق ’’الشعب’’ عبد العلي حامد: لم أجده.</w:t>
      </w:r>
    </w:p>
    <w:p/>
    <w:p>
      <w:pPr/>
      <w:r>
        <w:rPr/>
        <w:t xml:space="preserve">قلت: [صدوق - ووصفه بالقضاء دليل على اشتهاره وعدالته، ولو كان فيه ما يطعن فيه من أجله لصاحوا به.</w:t>
      </w:r>
    </w:p>
    <w:p/>
    <w:p>
      <w:pPr/>
      <w:r>
        <w:rPr/>
        <w:t xml:space="preserve">’’مختصر تاريخ نيسابور’’ (37/ ب)،’’الشعب’’ (1/ 574)، ’’تاريخ بغداد’’ (4/ 313).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2026-10-14T15:45:03+03:00</dcterms:created>
  <dcterms:modified xsi:type="dcterms:W3CDTF">2026-10-14T15:45:03+03:00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