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محمد بن سرمد، أبو الحسين، السرمدي، الكرابيسي،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محمد بن سرمد، أبو الحسين، السرمدي، الكرابيسي، النيسابوري.
</w:t>
      </w:r>
    </w:p>
    <w:p>
      <w:pPr/>
      <w:r>
        <w:rPr/>
        <w:t xml:space="preserve">أحمد بن عبد الله بن محمد بن سرمد، أبو الحسين، السرمدي، الكرابيسي، النيسابوري. </w:t>
      </w:r>
    </w:p>
    <w:p/>
    <w:p>
      <w:pPr/>
      <w:r>
        <w:rPr/>
        <w:t xml:space="preserve">حدث عن: عبد الله بن شيرويه، وجعفر بن أحمد الحافظ.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هو ختن أبي الحسين محمد بن إسحاق الكرابيسي والد أبي أحمد الحافظ، وأبو أحمد الحافظ خال والده، سمع عبد الله بن شيرويه، وجعفر بن أحمد الحافظ.</w:t>
      </w:r>
    </w:p>
    <w:p/>
    <w:p>
      <w:pPr/>
      <w:r>
        <w:rPr/>
        <w:t xml:space="preserve">كان يسكن سكة الخندق، ويجمع الصوفية، ويعاشرهم.</w:t>
      </w:r>
    </w:p>
    <w:p/>
    <w:p>
      <w:pPr/>
      <w:r>
        <w:rPr/>
        <w:t xml:space="preserve">مات في صفر سنة ست وستين وثلاثمائة، ودفن في مقبرة باب معمر، وصلى عليه أبو أحمد الحافظ.</w:t>
      </w:r>
    </w:p>
    <w:p/>
    <w:p>
      <w:pPr/>
      <w:r>
        <w:rPr/>
        <w:t xml:space="preserve">قال مقيده - عفا الله عنه -: وفي ’’إثبات عذاب القبر للبيهقي’’ يقول الحاكم: أخبرني أبو محمد أحمد بن عبد الله فيما قرأت عليه ببخارى أنبا علي بن محمد بن عيسى اهـ.</w:t>
      </w:r>
    </w:p>
    <w:p/>
    <w:p>
      <w:pPr/>
      <w:r>
        <w:rPr/>
        <w:t xml:space="preserve">’’إثبات عذاب القبر’’ (196)، ’’الأنساب’’ (3/ 272)، ’’مختصره’’ (2/ 114).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2026-10-14T15:47:43+03:00</dcterms:created>
  <dcterms:modified xsi:type="dcterms:W3CDTF">2026-10-14T15:47:43+03:00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