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صالح بن علي، المروزي.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صالح بن علي، المروزي.
</w:t>
      </w:r>
    </w:p>
    <w:p>
      <w:pPr/>
      <w:r>
        <w:rPr/>
        <w:t xml:space="preserve">أحمد بن صالح بن علي، المروزي. </w:t>
      </w:r>
    </w:p>
    <w:p/>
    <w:p>
      <w:pPr/>
      <w:r>
        <w:rPr/>
        <w:t xml:space="preserve">ذكره الحاكم في شيوخه الذي رزق السماع منهم بنيسابور.</w:t>
      </w:r>
    </w:p>
    <w:p/>
    <w:p>
      <w:pPr/>
      <w:r>
        <w:rPr/>
        <w:t xml:space="preserve">قلت: [مجهول الحال - وتحديد موضع السماع منه يرفع جهالة عينه.</w:t>
      </w:r>
    </w:p>
    <w:p/>
    <w:p>
      <w:pPr/>
      <w:r>
        <w:rPr/>
        <w:t xml:space="preserve">’’مختصر تاريخ نيسابور’’ (37/ ب).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2026-10-14T16:05:16+03:00</dcterms:created>
  <dcterms:modified xsi:type="dcterms:W3CDTF">2026-10-14T16:05:16+03:00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