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الحسين بن بندار بن أبان، أبو بكر، الأصبهانى، ثم الطرطوسي.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بن بندار بن أبان، أبو بكر، الأصبهانى، ثم الطرطوسي.
</w:t>
      </w:r>
    </w:p>
    <w:p>
      <w:pPr/>
      <w:r>
        <w:rPr/>
        <w:t xml:space="preserve">أحمد بن الحسين بن بندار بن أبان، أبو بكر، الأصبهانى، ثم الطرطوسي. </w:t>
      </w:r>
    </w:p>
    <w:p/>
    <w:p>
      <w:pPr/>
      <w:r>
        <w:rPr/>
        <w:t xml:space="preserve">حدث عن: أبي سعيد أحمد بن محمد بن زياد بن الأعرابي، وعبد الله بن محمد الطرسوسي.</w:t>
      </w:r>
    </w:p>
    <w:p/>
    <w:p>
      <w:pPr/>
      <w:r>
        <w:rPr/>
        <w:t xml:space="preserve">وعنه: أبو عبد الله الحاكم، ووصفه بالقاضي.</w:t>
      </w:r>
    </w:p>
    <w:p/>
    <w:p>
      <w:pPr/>
      <w:r>
        <w:rPr/>
        <w:t xml:space="preserve">وقال في ’’تاريخه’’: ورد علينا عند محنة أهل طرسوس، وسكنها إلى أن توفي. وقال السمعاني: الشيخ العابد الصالح المجتهد. وقال ابن النديم: كان زاهداً عابداً. وقال الذهبي: القاضي الزاهد.</w:t>
      </w:r>
    </w:p>
    <w:p/>
    <w:p>
      <w:pPr/>
      <w:r>
        <w:rPr/>
        <w:t xml:space="preserve">مات في شهر رمضان سنة سبعين وثلاثمائة، ودفن في مقبرة باب معمر.</w:t>
      </w:r>
    </w:p>
    <w:p/>
    <w:p>
      <w:pPr/>
      <w:r>
        <w:rPr/>
        <w:t xml:space="preserve">قلت: [صدوق عابد ولي القضاء].</w:t>
      </w:r>
    </w:p>
    <w:p/>
    <w:p>
      <w:pPr/>
      <w:r>
        <w:rPr/>
        <w:t xml:space="preserve">’’مختصر تاريخ نيسابور’’ (37/ أ)، ’’الأنساب’’ (4/ 39)، ’’بغية الطلب’’ (2/ 637)، ’’تاريخ الإسلام’’ (27/ 193).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2026-10-14T16:58:14+03:00</dcterms:created>
  <dcterms:modified xsi:type="dcterms:W3CDTF">2026-10-14T16:58:14+03:00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