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بن علي بن مندة، أبو عمرو، وقيل: أبو عبد الله، الأصبهاني، ثم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علي بن مندة، أبو عمرو، وقيل: أبو عبد الله، الأصبهاني، ثم النيسابوري.
</w:t>
      </w:r>
    </w:p>
    <w:p>
      <w:pPr/>
      <w:r>
        <w:rPr/>
        <w:t xml:space="preserve">أحمد بن الحسن بن علي بن مندة، أبو عمرو، وقيل: أبو عبد الله، الأصبهاني، ثم النيسابوري. </w:t>
      </w:r>
    </w:p>
    <w:p/>
    <w:p>
      <w:pPr/>
      <w:r>
        <w:rPr/>
        <w:t xml:space="preserve">حدث عن: سفيان بن هارون بن سفيان العاصمي، وأبي القاسم البغوي، والوليد بن أبان، وغيرهم.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قال الذهبي: كان ممن يضرب المثل بخطه.</w:t>
      </w:r>
    </w:p>
    <w:p/>
    <w:p>
      <w:pPr/>
      <w:r>
        <w:rPr/>
        <w:t xml:space="preserve">مات سنة ثمان وخمسين وثلاثمائة.</w:t>
      </w:r>
    </w:p>
    <w:p/>
    <w:p>
      <w:pPr/>
      <w:r>
        <w:rPr/>
        <w:t xml:space="preserve">قلت: [مجهول الحال - وكلام الذهبي يدل على معرفة عينه.</w:t>
      </w:r>
    </w:p>
    <w:p/>
    <w:p>
      <w:pPr/>
      <w:r>
        <w:rPr/>
        <w:t xml:space="preserve">’’مختصر تاريخ نيسابور’’ (37/ أ)، ’’مناقب الشافعي’’ (1/ 301)، ’’تاريخ الإسلام’’ (26/ 173).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2026-10-14T17:12:13+03:00</dcterms:created>
  <dcterms:modified xsi:type="dcterms:W3CDTF">2026-10-14T17:12:13+03:00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