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بندار بن محمد بن عبد الله بن مهران، أبو زرعة، العيشي، الإستراباذي.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بندار بن محمد بن عبد الله بن مهران، أبو زرعة، العيشي، الإستراباذي.
</w:t>
      </w:r>
    </w:p>
    <w:p>
      <w:pPr/>
      <w:r>
        <w:rPr/>
        <w:t xml:space="preserve">أحمد بن بندار بن محمد بن عبد الله بن مهران، أبو زرعة، العيشي، الإستراباذي. </w:t>
      </w:r>
    </w:p>
    <w:p/>
    <w:p>
      <w:pPr/>
      <w:r>
        <w:rPr/>
        <w:t xml:space="preserve">كتب بأردبيل عن حفص بن عمر نزيله الحافظ، وتفقه ببغداد على أبي هريرة فيما قال الإدريسي.</w:t>
      </w:r>
    </w:p>
    <w:p/>
    <w:p>
      <w:pPr/>
      <w:r>
        <w:rPr/>
        <w:t xml:space="preserve">وعنه: أبو عبد الله الحاكم - وذكر أنه أقام بنيسابور مدة -، وأبو القاسم حمزة بن يوسف السهمي الحافظ حديثاً واحداً بجرجان.</w:t>
      </w:r>
    </w:p>
    <w:p/>
    <w:p>
      <w:pPr/>
      <w:r>
        <w:rPr/>
        <w:t xml:space="preserve">وصفه غير واحد بالقاضي الفقيه، قاضي إستراباذ، ومن هؤلاء الإدريسي، والسهمي، والذهبي، وغيرهم، وزاد الذهبي: من كبار تلامذة أبي علي بن أبي هريرة.</w:t>
      </w:r>
    </w:p>
    <w:p/>
    <w:p>
      <w:pPr/>
      <w:r>
        <w:rPr/>
        <w:t xml:space="preserve">مات سنة اثنتين وثمانين وثلاثمائة.</w:t>
      </w:r>
    </w:p>
    <w:p/>
    <w:p>
      <w:pPr/>
      <w:r>
        <w:rPr/>
        <w:t xml:space="preserve">قلت: [ثقة قاضٍ فقيه - ومن اشتهر بالفقيه أو القضاء فضلاً عن الجمع بينهما، ولم يجرح، فهو ثقة.</w:t>
      </w:r>
    </w:p>
    <w:p/>
    <w:p>
      <w:pPr/>
      <w:r>
        <w:rPr/>
        <w:t xml:space="preserve">’’مختصر تاريخ نيسابور’’ (37/ أ)، ’’تاريخ جرجان’’ (1057)، ’’طبقات علماء الحديث’’ (3/ 193)، ’’تذكرة الحفاظ’’ (3/ 1001)، ’’النبلاء’’ (17/ 49)، ’’تاريخ الإسلام’’ (27/ 47)، ’’توضيح المشتبه’’ (3/ 119).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2026-10-14T17:57:51+03:00</dcterms:created>
  <dcterms:modified xsi:type="dcterms:W3CDTF">2026-10-14T17:57:51+03:00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