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مجيب بن إبراهيم بن سليمان بن خالد، أبو إسحاق، العبدي، النيسابوري، الميداني.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مجيب بن إبراهيم بن سليمان بن خالد، أبو إسحاق، العبدي، النيسابوري، الميداني.
</w:t>
      </w:r>
    </w:p>
    <w:p>
      <w:pPr/>
      <w:r>
        <w:rPr/>
        <w:t xml:space="preserve">إبراهيم بن مجيب بن إبراهيم بن سليمان بن خالد، أبو إسحاق، العبدي، النيسابوري، الميداني. </w:t>
      </w:r>
    </w:p>
    <w:p/>
    <w:p>
      <w:pPr/>
      <w:r>
        <w:rPr/>
        <w:t xml:space="preserve">حدث عن: أبيه، وأبي عبد الله محمد بن إبراهيم العبدي، وأبي محمد جعفر بن محمد بن سوار، وأبي بكر محمد بن النضر الجارودي، ومحمد بن إبراهيم البوشنجي، وغيرهم.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وقال في ’’تاريخه’’: كان رجلاً صالحاً.</w:t>
      </w:r>
    </w:p>
    <w:p/>
    <w:p>
      <w:pPr/>
      <w:r>
        <w:rPr/>
        <w:t xml:space="preserve">توفي في صفر من سنة وأربعين وثلاثمائة.</w:t>
      </w:r>
    </w:p>
    <w:p/>
    <w:p>
      <w:pPr/>
      <w:r>
        <w:rPr/>
        <w:t xml:space="preserve">قال مقيده - عفا الله عنه -: ذكر محقق ’’الشعب’’ الندوي أنه لم يعرفه.</w:t>
      </w:r>
    </w:p>
    <w:p/>
    <w:p>
      <w:pPr/>
      <w:r>
        <w:rPr/>
        <w:t xml:space="preserve">قلت: [صدوق عابد].</w:t>
      </w:r>
    </w:p>
    <w:p/>
    <w:p>
      <w:pPr/>
      <w:r>
        <w:rPr/>
        <w:t xml:space="preserve">’’مختصر تاريخ نيسابور’’ (40/ أ)، ’’الشعب’’ (11/ 454)، ’’تكملة الإكمال’’ (5/ 272)، ’’الإكمال’’ (7/ 166)، ’’تاريخ الإسلام’’ (25/ 274)، ’’توضيح المشتبه’’ (8/ 66)، ’’تبصير المنتبه’’ (4/ 1260).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2026-10-14T19:10:42+03:00</dcterms:created>
  <dcterms:modified xsi:type="dcterms:W3CDTF">2026-10-14T19:10:42+03:00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