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محمد بن أحمد بن محمد بن أحمد بن إبراهيم الميداني البيهقي أبو الحسن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محمد بن أحمد بن محمد بن أحمد بن إبراهيم الميداني البيهقي أبو الحسن 
</w:t>
      </w:r>
    </w:p>
    <w:p>
      <w:pPr/>
      <w:r>
        <w:rPr/>
        <w:t xml:space="preserve">سعيد بن محمد بن أحمد بن محمد بن أحمد بن إبراهيم الميدانيّ البيهقيّ، أبو الحسن. </w:t>
      </w:r>
    </w:p>
    <w:p/>
    <w:p>
      <w:pPr/>
      <w:r>
        <w:rPr/>
        <w:t xml:space="preserve">مات في سنة تسع وثلاثين وخمس مائة بنيسابور عن ثمان وستين سنة.</w:t>
      </w:r>
    </w:p>
    <w:p/>
    <w:p>
      <w:pPr/>
      <w:r>
        <w:rPr/>
        <w:t xml:space="preserve">صنّف عدة كتب، منها: كتاب السامي، وكتاب غريب اللّغة، وكتاب نحو الفقهاء.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2026-10-14T19:08:37+03:00</dcterms:created>
  <dcterms:modified xsi:type="dcterms:W3CDTF">2026-10-14T19:08:37+03:00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