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البصري 
</w:t>
      </w:r>
    </w:p>
    <w:p>
      <w:pPr/>
      <w:r>
        <w:rPr/>
        <w:t xml:space="preserve">ربيعة البصريّ. </w:t>
      </w:r>
    </w:p>
    <w:p/>
    <w:p>
      <w:pPr/>
      <w:r>
        <w:rPr/>
        <w:t xml:space="preserve">ذكره محمد بن إسحاق النديم في كتاب الفهرست، وقال: هو بدويّ تحضّر، وكان راوية علامة شاعرا. وله من الكتب: كتاب ما قيل في الحيّات من الشّعر والرّجز، وكتاب حنين الإبل إلى أوطانها.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2026-10-14T19:04:02+03:00</dcterms:created>
  <dcterms:modified xsi:type="dcterms:W3CDTF">2026-10-14T19:04:02+03:00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