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الزبير المصري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الزبير المصري أبو محمد
</w:t>
      </w:r>
    </w:p>
    <w:p>
      <w:pPr/>
      <w:r>
        <w:rPr/>
        <w:t xml:space="preserve">الحسن بن عليّ بن الزّبير المصريّ، أبو محمد، من أهل أسوان. وكان يلقّب بالقاضي المهذّب. </w:t>
      </w:r>
    </w:p>
    <w:p/>
    <w:p>
      <w:pPr/>
      <w:r>
        <w:rPr/>
        <w:t xml:space="preserve">مات في شهر ربيع الآخر من سنة إحدى وستين وخمس مائة. وكان مليح الخطّ فصيحا، جيّد العبارة شاعرا، اختصّ بالصّالح طلائع بن رزّيك وزير المصريّين، وحصل له منه مال جمّ.</w:t>
      </w:r>
    </w:p>
    <w:p/>
    <w:p>
      <w:pPr/>
      <w:r>
        <w:rPr/>
        <w:t xml:space="preserve">وله من الكتب: كتاب الأنساب نحو عشرين مجلّدا، حذا فيه حذو أحمد بن يحيى البلاذري.</w:t>
      </w:r>
    </w:p>
    <w:p/>
    <w:p>
      <w:pPr/>
      <w:r>
        <w:rPr/>
        <w:t xml:space="preserve">ومن شعره قصيدته المشهورة التي أوّلها: [الكامل]</w:t>
      </w:r>
    </w:p>
    <w:p/>
    <w:p>
      <w:pPr>
        <w:jc w:val="center"/>
      </w:pPr>
      <w:r>
        <w:rPr>
          <w:color w:val="ff0000"/>
        </w:rPr>
        <w:t xml:space="preserve">يا ربع أين ترى الأحبّة يمّموا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 أنجدوا من بعدنا أم أتهموا؟</w:t>
      </w:r>
    </w:p>
    <w:p/>
    <w:p>
      <w:pPr>
        <w:jc w:val="center"/>
      </w:pPr>
      <w:r>
        <w:rPr>
          <w:color w:val="ff0000"/>
        </w:rPr>
        <w:t xml:space="preserve">نزلوا من العين السّواد وإن نأوا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الفؤاد مكان ما أنا أكتم</w:t>
      </w:r>
    </w:p>
    <w:p/>
    <w:p>
      <w:pPr>
        <w:jc w:val="center"/>
      </w:pPr>
      <w:r>
        <w:rPr>
          <w:color w:val="ff0000"/>
        </w:rPr>
        <w:t xml:space="preserve">رحلوا وفي القلب المعنّى بعدهم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وجد على مرّ الزّمان مخيّم</w:t>
      </w:r>
    </w:p>
    <w:p/>
    <w:p>
      <w:pPr>
        <w:jc w:val="center"/>
      </w:pPr>
      <w:r>
        <w:rPr>
          <w:color w:val="ff0000"/>
        </w:rPr>
        <w:t xml:space="preserve">وتعوّضت بالأنس روحي وحشة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أوحش الله المنازل منهم</w:t>
      </w:r>
    </w:p>
    <w:p/>
    <w:p>
      <w:pPr>
        <w:jc w:val="center"/>
      </w:pPr>
      <w:r>
        <w:rPr>
          <w:color w:val="ff0000"/>
        </w:rPr>
        <w:t xml:space="preserve">لولا هم ما قمت بين ديارهم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حيران أستاف الدّيار وألثم</w:t>
      </w:r>
    </w:p>
    <w:p/>
    <w:p>
      <w:pPr>
        <w:jc w:val="center"/>
      </w:pPr>
      <w:r>
        <w:rPr>
          <w:color w:val="ff0000"/>
        </w:rPr>
        <w:t xml:space="preserve">أمنازل الأحباب أين هم وأي‍</w:t>
      </w:r>
      <w:r>
        <w:rPr>
          <w:color w:val="ff0000"/>
        </w:rPr>
        <w:t xml:space="preserve">      </w:t>
      </w:r>
      <w:r>
        <w:rPr>
          <w:color w:val="ff0000"/>
        </w:rPr>
        <w:t xml:space="preserve">ن الصّبر من بعد التّفرّق عنهم </w:t>
      </w:r>
    </w:p>
    <w:p/>
    <w:p>
      <w:pPr/>
      <w:r>
        <w:rPr/>
        <w:t xml:space="preserve">وهي قصيدة طويلة. وله أشعار حسنة.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2026-10-14T20:15:46+03:00</dcterms:created>
  <dcterms:modified xsi:type="dcterms:W3CDTF">2026-10-14T20:15:46+03:00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