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محمد بن حمزة السلامي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محمد بن حمزة السلامي
</w:t>
      </w:r>
    </w:p>
    <w:p>
      <w:pPr/>
      <w:r>
        <w:rPr/>
        <w:t xml:space="preserve">الحسين بن أحمد بن محمد بن حمزة السّلاّميّ، بفتح السّين وتشديد اللام، أبو الحسن البيهقي. </w:t>
      </w:r>
    </w:p>
    <w:p/>
    <w:p>
      <w:pPr/>
      <w:r>
        <w:rPr/>
        <w:t xml:space="preserve">ذكره الثعالبيّ في كتاب يتيمة الدّهر، وقال: تصانيفه ناطقة بفضله، فمن ذلك: كتاب ولاة خراسان، وكتاب النّتف والظّرف، وكتاب المصباح، وكتاب الثأر.</w:t>
      </w:r>
    </w:p>
    <w:p/>
    <w:p>
      <w:pPr/>
      <w:r>
        <w:rPr/>
        <w:t xml:space="preserve">مات فيما ذكره أبو الحسن البيهقي في سنة 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2026-10-14T20:00:21+03:00</dcterms:created>
  <dcterms:modified xsi:type="dcterms:W3CDTF">2026-10-14T20:00:21+03:00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