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علوية الكراني الأصبهاني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علوية الكراني الأصبهاني 
</w:t>
      </w:r>
    </w:p>
    <w:p>
      <w:pPr/>
      <w:r>
        <w:rPr/>
        <w:t xml:space="preserve">أحمد بن علوية الكرّانيّ الأصبهاني. </w:t>
      </w:r>
    </w:p>
    <w:p/>
    <w:p>
      <w:pPr/>
      <w:r>
        <w:rPr/>
        <w:t xml:space="preserve">صاحب لغة وأدب، له ديوان رسائل وديوان شعر، نادم أحمد بن عبد العزيز العجليّ.</w:t>
      </w:r>
    </w:p>
    <w:p/>
    <w:p>
      <w:pPr/>
      <w:r>
        <w:rPr/>
        <w:t xml:space="preserve">وله كتاب في الدعاء، ورسالة في الشّيب والخضاب.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2026-10-14T21:16:58+03:00</dcterms:created>
  <dcterms:modified xsi:type="dcterms:W3CDTF">2026-10-14T21:16:58+03:00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