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ظفر المكي 
</w:t>
      </w:r>
    </w:p>
    <w:p>
      <w:pPr>
        <w:jc w:val="start"/>
        <w:bidi/>
      </w:pPr>
      <w:r>
        <w:rPr>
          <w:rFonts w:ascii="arial" w:hAnsi="arial" w:eastAsia="arial" w:cs="arial"/>
          <w:sz w:val="28"/>
          <w:szCs w:val="28"/>
          <w:b w:val="1"/>
          <w:bCs w:val="1"/>
          <w:rtl/>
        </w:rPr>
        <w:t xml:space="preserve">محمد بن عبد الله بن محمد بن ظفر المكي 
</w:t>
      </w:r>
    </w:p>
    <w:p>
      <w:pPr/>
      <w:r>
        <w:rPr/>
        <w:t xml:space="preserve">محمد بن عبد الله بن محمد بن ظفر المكّيّ. </w:t>
      </w:r>
    </w:p>
    <w:p/>
    <w:p>
      <w:pPr/>
      <w:r>
        <w:rPr/>
        <w:t xml:space="preserve">له من التصانيف: كتاب ينبوع الحياة في تفسير القرآن: اثنا عشر مجلّدا، وكتاب فوائد الوحي الموجز إلى فوائد الوحي المعجز، وكتاب ما خلص من الاشتراك اللّغوي والاستنباط المعنوي، وكتاب سلوان المطاع في عدوان الاتّباع، وكتاب معاتبة الجريء على معاقبة البريء، وكتاب المعاداة في الاعتقاد، وكتاب أساليب الغاية في أحكام آية، وكتاب التشجير في أصول الدين، وكتاب الجنّة في فراق أهل السّنة، وكتاب خير البشر بخير البشر، وكتاب ملح اللّغة ممّا اتفق لفظه واختلف معناه، مرتّب على حروف المعجم، وكتاب أوهام الخواصّ في إيهام الخواصّ: ردّ على الحريريّ في درّة الغوّاص، وكتاب التنقيب عمّا في المقامات من الغريب، وكتاب كشف الكشف، وكتاب نجباء الأدباء، وكتاب الأذكار في مسالك الأفكار، وكتاب الخوذ الواقية والعوذ الراقية: في الوعظ، وكتاب نصائح الذّكرى، وكتاب إكسير كيمياء التفسير، وكتاب الأسفار المقامة في السّفر عن الخمسين مقامة: أربع مجلّدات، وكتاب كأس من كأس الحقيقة والطريقة، وكتاب الإشارة إلى علم العبارة، وكتاب أرجوزة في الفرائض، وكتاب القواعد والبيان: مختصر في النجوم.</w:t>
      </w:r>
    </w:p>
    <w:p/>
    <w:p>
      <w:pPr/>
      <w:r>
        <w:rPr/>
        <w:t xml:space="preserve">ومن شعره قوله: [الطويل]</w:t>
      </w:r>
    </w:p>
    <w:p/>
    <w:p>
      <w:pPr>
        <w:jc w:val="center"/>
      </w:pPr>
      <w:r>
        <w:rPr>
          <w:color w:val="ff0000"/>
        </w:rPr>
        <w:t xml:space="preserve">توسّل بالأعمال قوم ولم يجد</w:t>
      </w:r>
      <w:r>
        <w:rPr>
          <w:color w:val="ff0000"/>
        </w:rPr>
        <w:t xml:space="preserve">      </w:t>
      </w:r>
      <w:r>
        <w:rPr>
          <w:color w:val="ff0000"/>
        </w:rPr>
        <w:t xml:space="preserve">عبيدك أعمالا تكون وسائلا </w:t>
      </w:r>
    </w:p>
    <w:p/>
    <w:p>
      <w:pPr>
        <w:jc w:val="center"/>
      </w:pPr>
      <w:r>
        <w:rPr>
          <w:color w:val="ff0000"/>
        </w:rPr>
        <w:t xml:space="preserve">فعاذ من الحرمان واستفتح الرّضا</w:t>
      </w:r>
      <w:r>
        <w:rPr>
          <w:color w:val="ff0000"/>
        </w:rPr>
        <w:t xml:space="preserve">      </w:t>
      </w:r>
      <w:r>
        <w:rPr>
          <w:color w:val="ff0000"/>
        </w:rPr>
        <w:t xml:space="preserve">بأسمائك الحسنى منيبا وسائلا</w:t>
      </w:r>
    </w:p>
    <w:p/>
    <w:p>
      <w:pPr/>
      <w:r>
        <w:rPr/>
        <w:t xml:space="preserve">كان في صقلّية حيّا في سنة أربع وخمسين وخمس مائة.</w:t>
      </w:r>
    </w:p>
    <w:p>
      <w:pPr>
        <w:jc w:val="start"/>
        <w:bidi/>
      </w:pPr>
      <w:r>
        <w:rPr>
          <w:sz w:val="24"/>
          <w:szCs w:val="24"/>
          <w:b w:val="1"/>
          <w:bCs w:val="1"/>
          <w:rtl/>
        </w:rPr>
        <w:t xml:space="preserve">
الدر الثمين في أسماء المصنفين،(دار الغرب الإسلامي - تونس،2009،ط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2026-10-14T21:06:52+03:00</dcterms:created>
  <dcterms:modified xsi:type="dcterms:W3CDTF">2026-10-14T21:06:52+03:00</dcterms:modified>
</cp:coreProperties>
</file>

<file path=docProps/custom.xml><?xml version="1.0" encoding="utf-8"?>
<Properties xmlns="http://schemas.openxmlformats.org/officeDocument/2006/custom-properties" xmlns:vt="http://schemas.openxmlformats.org/officeDocument/2006/docPropsVTypes"/>
</file>