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غالب الأصبهاني الملقب بباح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غالب الأصبهاني الملقب بباح بن عبد الله
</w:t>
      </w:r>
    </w:p>
    <w:p>
      <w:pPr/>
      <w:r>
        <w:rPr/>
        <w:t xml:space="preserve">محمد بن عبد الله بن غالب الأصبهانيّ، الملقّب بباح بن عبد الله، وإنّما لقّب بباح لقوله: باح بما في الفؤاد. </w:t>
      </w:r>
    </w:p>
    <w:p/>
    <w:p>
      <w:pPr/>
      <w:r>
        <w:rPr/>
        <w:t xml:space="preserve">ورد بغداد وأقام بها، وكان فصيحا كاتبا مترسّلا بليغا.</w:t>
      </w:r>
    </w:p>
    <w:p/>
    <w:p>
      <w:pPr/>
      <w:r>
        <w:rPr/>
        <w:t xml:space="preserve">وله من الكتب: كتاب جامع الرسائل: في ألف ورقة، وكتاب التوشيح والترشيح، وكتاب الخطب والبلاغة، وكتاب الفقر.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2026-10-14T21:00:10+03:00</dcterms:created>
  <dcterms:modified xsi:type="dcterms:W3CDTF">2026-10-14T21:00:10+03:00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