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جعفر بن محمد الطاوس العلوي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جعفر بن محمد الطاوس العلوي 
</w:t>
      </w:r>
    </w:p>
    <w:p>
      <w:pPr/>
      <w:r>
        <w:rPr/>
        <w:t xml:space="preserve">محمد بن موسى بن جعفر بن محمد الطاوس العلويّ. </w:t>
      </w:r>
    </w:p>
    <w:p/>
    <w:p>
      <w:pPr/>
      <w:r>
        <w:rPr/>
        <w:t xml:space="preserve">ولد بالحلّة السّيفية، واشتغل بالعلم، وقرأ الأدب، وقال الشّعر، وأنشأ الرسائل. وقدم بغداد واستوطنها، وخدم في بعض الخدم الدّيوانية. وكان سخيّ النفس، ظاهر الكيس. له من الكتب: رسالة الوفا في مقابل الصّفا، وكتاب رسائله، وكتاب أنس الجليس، وكتاب المدائح الفخرية.</w:t>
      </w:r>
    </w:p>
    <w:p/>
    <w:p>
      <w:pPr/>
      <w:r>
        <w:rPr/>
        <w:t xml:space="preserve">ومن شعره قوله: [الطويل]</w:t>
      </w:r>
    </w:p>
    <w:p/>
    <w:p>
      <w:pPr>
        <w:jc w:val="center"/>
      </w:pPr>
      <w:r>
        <w:rPr>
          <w:color w:val="ff0000"/>
        </w:rPr>
        <w:t xml:space="preserve">ذروني أمت من غير ذلّ فإنّني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الموت في عزّ النّفوس يهون</w:t>
      </w:r>
    </w:p>
    <w:p/>
    <w:p>
      <w:pPr>
        <w:jc w:val="center"/>
      </w:pPr>
      <w:r>
        <w:rPr>
          <w:color w:val="ff0000"/>
        </w:rPr>
        <w:t xml:space="preserve">أموت عزيزا لا أذلّ لحادث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قدّر الرّحمن سوف يكون</w:t>
      </w:r>
    </w:p>
    <w:p/>
    <w:p>
      <w:pPr/>
      <w:r>
        <w:rPr/>
        <w:t xml:space="preserve">وهلك في موقعة أخذ بغداد في سنة ستّ وخمسين وستّ مائة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2026-10-14T22:14:35+03:00</dcterms:created>
  <dcterms:modified xsi:type="dcterms:W3CDTF">2026-10-14T22:14:35+03:00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