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الهذيل العلاف أبو الهذيل المتكلم 
</w:t>
      </w:r>
    </w:p>
    <w:p>
      <w:pPr>
        <w:jc w:val="start"/>
        <w:bidi/>
      </w:pPr>
      <w:r>
        <w:rPr>
          <w:rFonts w:ascii="arial" w:hAnsi="arial" w:eastAsia="arial" w:cs="arial"/>
          <w:sz w:val="28"/>
          <w:szCs w:val="28"/>
          <w:b w:val="1"/>
          <w:bCs w:val="1"/>
          <w:rtl/>
        </w:rPr>
        <w:t xml:space="preserve">محمد بن الهذيل العلاف أبو الهذيل المتكلم 
</w:t>
      </w:r>
    </w:p>
    <w:p>
      <w:pPr/>
      <w:r>
        <w:rPr/>
        <w:t xml:space="preserve">محمد بن الهذيل العلاّف، أبو الهذيل المتكلّم. </w:t>
      </w:r>
    </w:p>
    <w:p/>
    <w:p>
      <w:pPr/>
      <w:r>
        <w:rPr/>
        <w:t xml:space="preserve">من شيوخ المعتزلة. له من الكتب: كتاب الإمامة، وكتاب في الإرجاء، وكتاب طاعة لا يراد الله بها، وكتاب التوليد على النظّام، وكتاب الوعيد، وكتاب مقتل غيلان، وكتاب إلى الدّمشقيّين، وكتاب المجالس، وكتاب الحجة، وكتاب صفة الله بالعدل ونفي القبيح، وكتاب الحجة على الملحدين، وكتاب تسمية أهل الأحداث، وكتاب على ضرار، وكتاب على النّصارى، وكتاب على السوفسطائية، وكتاب على المجوس، وكتاب على اليهود، وكتاب مسائل في الحركات وغيرها، وكتاب على عمّار النّصرانيّ في الردّ على النّصارى، وكتاب في صفة الغضب والرّضى من الله تعالى، وكتاب في السّخط والرّضى، وكتاب المخلوق على حفص الفرد، وكتاب الحسن على إبراهيم، وكتاب الردّ على الغيلانية في الإرجاء، وكتاب على حفص الفرد في فعل ويفعل، وكتاب على النظّام في تجويز القدرة على الظّلم، وكتاب على النظّام في خلق الشيء وجوابه عنه، وكتاب الردّ على القدرية والمجبرة، وكتاب على ضرار وجهم وأبي حنيفة، وكتاب على النظّام في الإنسان، وكتاب على جميع الأصناف، وكتاب الاستطاعة، وكتاب في الحركات، وكتاب في خلق الشيء عن الشيء، وكتاب في الردّ على أهل الأديان، وكتاب في حركات أهل الجنة، وكتاب جواب القناوي، وكتاب على من قال بتعذيب الأطفال، وكتاب الطّعن على إبراهيم، وكتاب الثّنوية، وكتاب الجواهر والأعراض، وكتاب الحوض والشّفاعة وعذاب القبر، وكتاب على أصحاب الحديث في التشبيه، وكتاب تثبيت الأعراض، وكتاب السّمع والبصر، وكتاب علامات صدق الرسول، وكتاب الصّدق ما هو.</w:t>
      </w:r>
    </w:p>
    <w:p/>
    <w:p>
      <w:pPr/>
      <w:r>
        <w:rPr/>
        <w:t xml:space="preserve">وكانت وفاة محمد بن الهذيل هذا في سرّ من رأى في سنة ستّ وعشرين ومائتين عن مائة سنة وأربع سنين.</w:t>
      </w:r>
    </w:p>
    <w:p>
      <w:pPr>
        <w:jc w:val="start"/>
        <w:bidi/>
      </w:pPr>
      <w:r>
        <w:rPr>
          <w:sz w:val="24"/>
          <w:szCs w:val="24"/>
          <w:b w:val="1"/>
          <w:bCs w:val="1"/>
          <w:rtl/>
        </w:rPr>
        <w:t xml:space="preserve">
الدر الثمين في أسماء المصنفين،(دار الغرب الإسلامي - تونس،2009،ط 1،ج 1،ص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2026-10-14T22:14:54+03:00</dcterms:created>
  <dcterms:modified xsi:type="dcterms:W3CDTF">2026-10-14T22:14:54+03:00</dcterms:modified>
</cp:coreProperties>
</file>

<file path=docProps/custom.xml><?xml version="1.0" encoding="utf-8"?>
<Properties xmlns="http://schemas.openxmlformats.org/officeDocument/2006/custom-properties" xmlns:vt="http://schemas.openxmlformats.org/officeDocument/2006/docPropsVTypes"/>
</file>