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سهل أبو الفرج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سهل أبو الفرج 
</w:t>
      </w:r>
    </w:p>
    <w:p>
      <w:pPr/>
      <w:r>
        <w:rPr/>
        <w:t xml:space="preserve">محمد بن محمد بن سهل، أبو الفرج. </w:t>
      </w:r>
    </w:p>
    <w:p/>
    <w:p>
      <w:pPr/>
      <w:r>
        <w:rPr/>
        <w:t xml:space="preserve">أحد الكتّاب المتأدّبين، له تصنيف وهو: كتاب الخراج، وكتاب النساء الشّواعر، وكتاب تحف المجالسات، وكتاب الرياضة، وكتاب في صناعة الإنشاء، وكتاب في أخبار القاضي ابن قريعة.</w:t>
      </w:r>
    </w:p>
    <w:p/>
    <w:p>
      <w:pPr/>
      <w:r>
        <w:rPr/>
        <w:t xml:space="preserve">وكانت وفاته في شهر ربيع الآخر من سنة ثلاث عشرة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2026-10-14T23:06:49+03:00</dcterms:created>
  <dcterms:modified xsi:type="dcterms:W3CDTF">2026-10-14T23:06:49+03:00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