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القاسم الجبائي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القاسم الجبائي
</w:t>
      </w:r>
    </w:p>
    <w:p>
      <w:pPr/>
      <w:r>
        <w:rPr/>
        <w:t xml:space="preserve">محمد بن أبي القاسم الجبائيّ، وجبأ: جبل باليمن. </w:t>
      </w:r>
    </w:p>
    <w:p/>
    <w:p>
      <w:pPr/>
      <w:r>
        <w:rPr/>
        <w:t xml:space="preserve">كان أحد الأدباء في عصرنا. وله تصانيف، منها: كتاب شرح المقامات الحريريّة، وشرح كتاب نظام الغريب لعيسى بن إبراهيم الربعيّ اليمني، وله كتاب رسائل من إنشائه، وكان فنّه اللّغة والتصريف.</w:t>
      </w:r>
    </w:p>
    <w:p/>
    <w:p>
      <w:pPr/>
      <w:r>
        <w:rPr/>
        <w:t xml:space="preserve">ومات بجبإ في سنة خمس وسبعين وخمس مائة، ذكر ذلك شيخنا ياقوت الحموي.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2026-10-14T23:07:00+03:00</dcterms:created>
  <dcterms:modified xsi:type="dcterms:W3CDTF">2026-10-14T23:07:00+03:00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